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A05F" w14:textId="77777777" w:rsidR="00EF79E0" w:rsidRDefault="00EF79E0" w:rsidP="00EF79E0">
      <w:pPr>
        <w:pStyle w:val="Title"/>
        <w:widowControl/>
        <w:rPr>
          <w:rFonts w:ascii="Arial" w:hAnsi="Arial" w:cs="Arial"/>
          <w:b w:val="0"/>
          <w:sz w:val="32"/>
          <w:szCs w:val="32"/>
        </w:rPr>
      </w:pPr>
      <w:r>
        <w:rPr>
          <w:noProof/>
          <w:lang w:eastAsia="en-GB"/>
        </w:rPr>
        <w:drawing>
          <wp:inline distT="0" distB="0" distL="0" distR="0" wp14:anchorId="0E8504FF" wp14:editId="201D5486">
            <wp:extent cx="752475" cy="752475"/>
            <wp:effectExtent l="0" t="0" r="9525" b="9525"/>
            <wp:docPr id="2" name="Picture 2" descr="Tangmere Cre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gmere Crest-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5C540B0" w14:textId="77777777" w:rsidR="00EF79E0" w:rsidRDefault="00EF79E0" w:rsidP="00EF79E0">
      <w:pPr>
        <w:pStyle w:val="Title"/>
        <w:widowControl/>
        <w:rPr>
          <w:rFonts w:ascii="Arial" w:hAnsi="Arial" w:cs="Arial"/>
          <w:b w:val="0"/>
          <w:sz w:val="32"/>
          <w:szCs w:val="32"/>
        </w:rPr>
      </w:pPr>
    </w:p>
    <w:p w14:paraId="2B4F9A86" w14:textId="77777777" w:rsidR="00EF79E0" w:rsidRPr="00EF79E0" w:rsidRDefault="00EF79E0" w:rsidP="00EF79E0">
      <w:pPr>
        <w:pStyle w:val="Title"/>
        <w:widowControl/>
        <w:rPr>
          <w:rFonts w:ascii="Arial" w:hAnsi="Arial" w:cs="Arial"/>
          <w:sz w:val="32"/>
          <w:szCs w:val="32"/>
        </w:rPr>
      </w:pPr>
      <w:r w:rsidRPr="00EF79E0">
        <w:rPr>
          <w:rFonts w:ascii="Arial" w:hAnsi="Arial" w:cs="Arial"/>
          <w:sz w:val="32"/>
          <w:szCs w:val="32"/>
        </w:rPr>
        <w:t>TANGMERE PARISH COUNCIL</w:t>
      </w:r>
    </w:p>
    <w:p w14:paraId="27E7C074" w14:textId="77777777" w:rsidR="00B46F0F" w:rsidRDefault="00434AF0">
      <w:pPr>
        <w:spacing w:after="90" w:line="259" w:lineRule="auto"/>
        <w:ind w:left="74" w:right="0" w:firstLine="0"/>
        <w:jc w:val="center"/>
      </w:pPr>
      <w:r>
        <w:rPr>
          <w:b/>
          <w:color w:val="000000"/>
          <w:sz w:val="28"/>
        </w:rPr>
        <w:t xml:space="preserve"> </w:t>
      </w:r>
    </w:p>
    <w:p w14:paraId="189DE939" w14:textId="015DCDC0" w:rsidR="00300378" w:rsidRDefault="00434AF0" w:rsidP="008A53DA">
      <w:pPr>
        <w:spacing w:after="105" w:line="259" w:lineRule="auto"/>
        <w:ind w:left="0" w:right="0" w:firstLine="0"/>
        <w:jc w:val="center"/>
        <w:rPr>
          <w:b/>
          <w:color w:val="000000"/>
          <w:sz w:val="28"/>
        </w:rPr>
      </w:pPr>
      <w:r>
        <w:rPr>
          <w:b/>
          <w:color w:val="000000"/>
          <w:sz w:val="28"/>
        </w:rPr>
        <w:t xml:space="preserve">Risk Management Policy </w:t>
      </w:r>
    </w:p>
    <w:p w14:paraId="68FAC832" w14:textId="77777777" w:rsidR="00AC2B22" w:rsidRPr="008A53DA" w:rsidRDefault="00AC2B22" w:rsidP="008A53DA">
      <w:pPr>
        <w:spacing w:after="105" w:line="259" w:lineRule="auto"/>
        <w:ind w:left="0" w:right="0" w:firstLine="0"/>
        <w:jc w:val="center"/>
        <w:rPr>
          <w:b/>
          <w:color w:val="000000"/>
          <w:sz w:val="28"/>
        </w:rPr>
      </w:pPr>
    </w:p>
    <w:p w14:paraId="1A27FD19" w14:textId="77777777" w:rsidR="00B46F0F" w:rsidRPr="00300378" w:rsidRDefault="00434AF0">
      <w:pPr>
        <w:pStyle w:val="Heading1"/>
        <w:ind w:left="345" w:hanging="360"/>
        <w:rPr>
          <w:u w:val="none"/>
        </w:rPr>
      </w:pPr>
      <w:r w:rsidRPr="00300378">
        <w:rPr>
          <w:u w:val="none"/>
        </w:rPr>
        <w:t xml:space="preserve">Definition of Risk Management </w:t>
      </w:r>
    </w:p>
    <w:p w14:paraId="09B1224E" w14:textId="77777777" w:rsidR="00123BBB" w:rsidRDefault="00434AF0" w:rsidP="00123BBB">
      <w:pPr>
        <w:spacing w:after="18"/>
        <w:ind w:left="777" w:right="163" w:hanging="432"/>
        <w:rPr>
          <w:sz w:val="22"/>
        </w:rPr>
      </w:pPr>
      <w:r w:rsidRPr="00300378">
        <w:rPr>
          <w:sz w:val="22"/>
        </w:rPr>
        <w:t xml:space="preserve">1.1. </w:t>
      </w:r>
      <w:r w:rsidRPr="00300378">
        <w:rPr>
          <w:rFonts w:eastAsia="Calibri"/>
          <w:sz w:val="22"/>
        </w:rPr>
        <w:t>‘</w:t>
      </w:r>
      <w:r w:rsidRPr="00300378">
        <w:rPr>
          <w:sz w:val="22"/>
        </w:rPr>
        <w:t>Risk is the threat that an event or action will adversely affect an organisation</w:t>
      </w:r>
      <w:r w:rsidRPr="00300378">
        <w:rPr>
          <w:rFonts w:eastAsia="Calibri"/>
          <w:sz w:val="22"/>
        </w:rPr>
        <w:t>’</w:t>
      </w:r>
      <w:r w:rsidRPr="00300378">
        <w:rPr>
          <w:sz w:val="22"/>
        </w:rPr>
        <w:t>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w:t>
      </w:r>
      <w:r w:rsidRPr="00300378">
        <w:rPr>
          <w:rFonts w:eastAsia="Calibri"/>
          <w:sz w:val="22"/>
        </w:rPr>
        <w:t>’</w:t>
      </w:r>
      <w:r w:rsidRPr="00300378">
        <w:rPr>
          <w:sz w:val="22"/>
          <w:vertAlign w:val="superscript"/>
        </w:rPr>
        <w:footnoteReference w:id="1"/>
      </w:r>
      <w:r w:rsidRPr="00300378">
        <w:rPr>
          <w:sz w:val="22"/>
        </w:rPr>
        <w:t xml:space="preserve"> </w:t>
      </w:r>
    </w:p>
    <w:p w14:paraId="363017DA" w14:textId="28922563" w:rsidR="00B46F0F" w:rsidRPr="00300378" w:rsidRDefault="00434AF0" w:rsidP="00123BBB">
      <w:pPr>
        <w:spacing w:after="18"/>
        <w:ind w:left="777" w:right="163" w:hanging="432"/>
        <w:rPr>
          <w:sz w:val="22"/>
        </w:rPr>
      </w:pPr>
      <w:r w:rsidRPr="00300378">
        <w:rPr>
          <w:sz w:val="22"/>
        </w:rPr>
        <w:t xml:space="preserve"> </w:t>
      </w:r>
    </w:p>
    <w:p w14:paraId="6E0FDC53" w14:textId="77777777" w:rsidR="00B46F0F" w:rsidRPr="00300378" w:rsidRDefault="00434AF0">
      <w:pPr>
        <w:pStyle w:val="Heading1"/>
        <w:ind w:left="345" w:hanging="360"/>
        <w:rPr>
          <w:u w:val="none"/>
        </w:rPr>
      </w:pPr>
      <w:r w:rsidRPr="00300378">
        <w:rPr>
          <w:u w:val="none"/>
        </w:rPr>
        <w:t xml:space="preserve">Policy Statement  </w:t>
      </w:r>
    </w:p>
    <w:p w14:paraId="7184414E" w14:textId="77777777" w:rsidR="00B46F0F" w:rsidRPr="00300378" w:rsidRDefault="00434AF0">
      <w:pPr>
        <w:ind w:left="777" w:right="163" w:hanging="432"/>
        <w:rPr>
          <w:sz w:val="22"/>
        </w:rPr>
      </w:pPr>
      <w:r w:rsidRPr="00300378">
        <w:rPr>
          <w:sz w:val="22"/>
        </w:rPr>
        <w:t xml:space="preserve">2.1. </w:t>
      </w:r>
      <w:r w:rsidR="00EF79E0" w:rsidRPr="00300378">
        <w:rPr>
          <w:sz w:val="22"/>
        </w:rPr>
        <w:t>Tangmere</w:t>
      </w:r>
      <w:r w:rsidRPr="00300378">
        <w:rPr>
          <w:sz w:val="22"/>
        </w:rPr>
        <w:t xml:space="preserve"> Parish Council recognises that, in addition to its statutory duties, there are significant economic and ethical reasons to take all reasonable and practicable measures to safeguard the people that it works with, and provides services for, and to protect the natural and built environments for which it is responsible.  </w:t>
      </w:r>
    </w:p>
    <w:p w14:paraId="79CA2F90" w14:textId="77777777" w:rsidR="00B46F0F" w:rsidRPr="00300378" w:rsidRDefault="00434AF0">
      <w:pPr>
        <w:ind w:left="777" w:right="163" w:hanging="432"/>
        <w:rPr>
          <w:sz w:val="22"/>
        </w:rPr>
      </w:pPr>
      <w:r w:rsidRPr="00300378">
        <w:rPr>
          <w:sz w:val="22"/>
        </w:rPr>
        <w:t>2.2. It is further recognised that risk management extends beyond Health &amp; Safety into all aspects of the Council</w:t>
      </w:r>
      <w:r w:rsidRPr="00300378">
        <w:rPr>
          <w:rFonts w:eastAsia="Calibri"/>
          <w:sz w:val="22"/>
        </w:rPr>
        <w:t>’</w:t>
      </w:r>
      <w:r w:rsidRPr="00300378">
        <w:rPr>
          <w:sz w:val="22"/>
        </w:rPr>
        <w:t xml:space="preserve">s work. </w:t>
      </w:r>
    </w:p>
    <w:p w14:paraId="5C8FAC9C" w14:textId="77777777" w:rsidR="00B46F0F" w:rsidRPr="00300378" w:rsidRDefault="00434AF0">
      <w:pPr>
        <w:pStyle w:val="Heading1"/>
        <w:ind w:left="345" w:hanging="360"/>
        <w:rPr>
          <w:u w:val="none"/>
        </w:rPr>
      </w:pPr>
      <w:r w:rsidRPr="00300378">
        <w:rPr>
          <w:u w:val="none"/>
        </w:rPr>
        <w:t xml:space="preserve">Aims  </w:t>
      </w:r>
    </w:p>
    <w:p w14:paraId="0EDDBBE9" w14:textId="77777777" w:rsidR="00B46F0F" w:rsidRPr="00300378" w:rsidRDefault="00434AF0">
      <w:pPr>
        <w:ind w:left="355" w:right="163"/>
        <w:rPr>
          <w:sz w:val="22"/>
        </w:rPr>
      </w:pPr>
      <w:r w:rsidRPr="00300378">
        <w:rPr>
          <w:sz w:val="22"/>
        </w:rPr>
        <w:t>3.1. The Council</w:t>
      </w:r>
      <w:r w:rsidRPr="00300378">
        <w:rPr>
          <w:rFonts w:eastAsia="Calibri"/>
          <w:sz w:val="22"/>
        </w:rPr>
        <w:t>’</w:t>
      </w:r>
      <w:r w:rsidRPr="00300378">
        <w:rPr>
          <w:sz w:val="22"/>
        </w:rPr>
        <w:t xml:space="preserve">s aims with respect to risk management are as follows:  </w:t>
      </w:r>
    </w:p>
    <w:p w14:paraId="6B7E87F3" w14:textId="77777777" w:rsidR="00B46F0F" w:rsidRPr="00300378" w:rsidRDefault="00434AF0">
      <w:pPr>
        <w:numPr>
          <w:ilvl w:val="0"/>
          <w:numId w:val="1"/>
        </w:numPr>
        <w:ind w:right="163" w:hanging="245"/>
        <w:rPr>
          <w:sz w:val="22"/>
        </w:rPr>
      </w:pPr>
      <w:r w:rsidRPr="00300378">
        <w:rPr>
          <w:sz w:val="22"/>
        </w:rPr>
        <w:t xml:space="preserve">To integrate risk management into the culture of the </w:t>
      </w:r>
      <w:proofErr w:type="gramStart"/>
      <w:r w:rsidRPr="00300378">
        <w:rPr>
          <w:sz w:val="22"/>
        </w:rPr>
        <w:t>Council;</w:t>
      </w:r>
      <w:proofErr w:type="gramEnd"/>
      <w:r w:rsidRPr="00300378">
        <w:rPr>
          <w:sz w:val="22"/>
        </w:rPr>
        <w:t xml:space="preserve">  </w:t>
      </w:r>
    </w:p>
    <w:p w14:paraId="703258DB" w14:textId="36CB8FFD" w:rsidR="00B46F0F" w:rsidRPr="00300378" w:rsidRDefault="00434AF0">
      <w:pPr>
        <w:numPr>
          <w:ilvl w:val="0"/>
          <w:numId w:val="1"/>
        </w:numPr>
        <w:ind w:right="163" w:hanging="245"/>
        <w:rPr>
          <w:sz w:val="22"/>
        </w:rPr>
      </w:pPr>
      <w:r w:rsidRPr="00300378">
        <w:rPr>
          <w:sz w:val="22"/>
        </w:rPr>
        <w:t xml:space="preserve">To raise awareness of the scope of risk management including business risk, the identification of opportunities as well as threats and that the process supports </w:t>
      </w:r>
      <w:r w:rsidR="00AB2AAD" w:rsidRPr="00300378">
        <w:rPr>
          <w:sz w:val="22"/>
        </w:rPr>
        <w:t>innovation.</w:t>
      </w:r>
      <w:r w:rsidRPr="00300378">
        <w:rPr>
          <w:sz w:val="22"/>
        </w:rPr>
        <w:t xml:space="preserve"> </w:t>
      </w:r>
    </w:p>
    <w:p w14:paraId="5687B2D5" w14:textId="196731E2" w:rsidR="00B46F0F" w:rsidRPr="00300378" w:rsidRDefault="00434AF0">
      <w:pPr>
        <w:numPr>
          <w:ilvl w:val="0"/>
          <w:numId w:val="1"/>
        </w:numPr>
        <w:ind w:right="163" w:hanging="245"/>
        <w:rPr>
          <w:sz w:val="22"/>
        </w:rPr>
      </w:pPr>
      <w:r w:rsidRPr="00300378">
        <w:rPr>
          <w:sz w:val="22"/>
        </w:rPr>
        <w:t xml:space="preserve">To manage risk in accordance with good </w:t>
      </w:r>
      <w:r w:rsidR="00AB2AAD" w:rsidRPr="00300378">
        <w:rPr>
          <w:sz w:val="22"/>
        </w:rPr>
        <w:t>practice.</w:t>
      </w:r>
      <w:r w:rsidRPr="00300378">
        <w:rPr>
          <w:sz w:val="22"/>
        </w:rPr>
        <w:t xml:space="preserve">  </w:t>
      </w:r>
    </w:p>
    <w:p w14:paraId="2EE47729" w14:textId="7C3FBF8B" w:rsidR="00B46F0F" w:rsidRPr="00300378" w:rsidRDefault="00434AF0">
      <w:pPr>
        <w:numPr>
          <w:ilvl w:val="0"/>
          <w:numId w:val="1"/>
        </w:numPr>
        <w:ind w:right="163" w:hanging="245"/>
        <w:rPr>
          <w:sz w:val="22"/>
        </w:rPr>
      </w:pPr>
      <w:r w:rsidRPr="00300378">
        <w:rPr>
          <w:sz w:val="22"/>
        </w:rPr>
        <w:t xml:space="preserve">To minimise losses, injury and damage and reduce the cost of </w:t>
      </w:r>
      <w:r w:rsidR="00AB2AAD" w:rsidRPr="00300378">
        <w:rPr>
          <w:sz w:val="22"/>
        </w:rPr>
        <w:t>risk.</w:t>
      </w:r>
      <w:r w:rsidRPr="00300378">
        <w:rPr>
          <w:sz w:val="22"/>
        </w:rPr>
        <w:t xml:space="preserve">  </w:t>
      </w:r>
    </w:p>
    <w:p w14:paraId="0DBC3B4F" w14:textId="034C2870" w:rsidR="00B46F0F" w:rsidRPr="00300378" w:rsidRDefault="00434AF0">
      <w:pPr>
        <w:numPr>
          <w:ilvl w:val="0"/>
          <w:numId w:val="1"/>
        </w:numPr>
        <w:ind w:right="163" w:hanging="245"/>
        <w:rPr>
          <w:sz w:val="22"/>
        </w:rPr>
      </w:pPr>
      <w:r w:rsidRPr="00300378">
        <w:rPr>
          <w:sz w:val="22"/>
        </w:rPr>
        <w:t xml:space="preserve">To ensure appropriate and proportionate actions are taken to address identified </w:t>
      </w:r>
      <w:r w:rsidR="00AB2AAD" w:rsidRPr="00300378">
        <w:rPr>
          <w:sz w:val="22"/>
        </w:rPr>
        <w:t>risks.</w:t>
      </w:r>
      <w:r w:rsidRPr="00300378">
        <w:rPr>
          <w:sz w:val="22"/>
        </w:rPr>
        <w:t xml:space="preserve">  </w:t>
      </w:r>
    </w:p>
    <w:p w14:paraId="532BD087" w14:textId="531E4113" w:rsidR="00B46F0F" w:rsidRPr="00300378" w:rsidRDefault="00434AF0" w:rsidP="00AB2AAD">
      <w:pPr>
        <w:ind w:left="777" w:right="163" w:hanging="432"/>
        <w:rPr>
          <w:sz w:val="22"/>
        </w:rPr>
      </w:pPr>
      <w:r w:rsidRPr="00300378">
        <w:rPr>
          <w:sz w:val="22"/>
        </w:rPr>
        <w:t>3.2. These aims will be achieved through the co-operation of all Parish Councillors and the Clerk. The Clerk will ensure that risk assessments are undertaken for all new activities of the Council and that existing risk assessments are kept under review and updated as appropriate. The Council will maintain a register of all risk assessments and make at least one formal review of the register annually; this will</w:t>
      </w:r>
      <w:r w:rsidR="00EC3721">
        <w:rPr>
          <w:sz w:val="22"/>
        </w:rPr>
        <w:t xml:space="preserve"> </w:t>
      </w:r>
      <w:r w:rsidRPr="00300378">
        <w:rPr>
          <w:sz w:val="22"/>
        </w:rPr>
        <w:lastRenderedPageBreak/>
        <w:t>form part of the annual review of the effectiveness of the Council</w:t>
      </w:r>
      <w:r w:rsidRPr="00300378">
        <w:rPr>
          <w:rFonts w:eastAsia="Calibri"/>
          <w:sz w:val="22"/>
        </w:rPr>
        <w:t>’</w:t>
      </w:r>
      <w:r w:rsidRPr="00300378">
        <w:rPr>
          <w:sz w:val="22"/>
        </w:rPr>
        <w:t>s system of internal control.</w:t>
      </w:r>
    </w:p>
    <w:p w14:paraId="52EBBFEE" w14:textId="77777777" w:rsidR="00B46F0F" w:rsidRPr="00300378" w:rsidRDefault="00434AF0">
      <w:pPr>
        <w:pStyle w:val="Heading1"/>
        <w:ind w:left="345" w:hanging="360"/>
        <w:rPr>
          <w:u w:val="none"/>
        </w:rPr>
      </w:pPr>
      <w:r w:rsidRPr="00300378">
        <w:rPr>
          <w:u w:val="none"/>
        </w:rPr>
        <w:t xml:space="preserve">Categories of Risk </w:t>
      </w:r>
    </w:p>
    <w:p w14:paraId="392EF516" w14:textId="0D6DC8BC" w:rsidR="00B46F0F" w:rsidRDefault="00434AF0">
      <w:pPr>
        <w:spacing w:after="8"/>
        <w:ind w:left="777" w:right="163" w:hanging="432"/>
        <w:rPr>
          <w:sz w:val="22"/>
        </w:rPr>
      </w:pPr>
      <w:r w:rsidRPr="00300378">
        <w:rPr>
          <w:sz w:val="22"/>
        </w:rPr>
        <w:t xml:space="preserve">4.1. In undertaking </w:t>
      </w:r>
      <w:r w:rsidR="003A0CE9" w:rsidRPr="00300378">
        <w:rPr>
          <w:sz w:val="22"/>
        </w:rPr>
        <w:t xml:space="preserve">its </w:t>
      </w:r>
      <w:r w:rsidRPr="00300378">
        <w:rPr>
          <w:sz w:val="22"/>
        </w:rPr>
        <w:t xml:space="preserve">risk </w:t>
      </w:r>
      <w:r w:rsidR="00AB2AAD" w:rsidRPr="00300378">
        <w:rPr>
          <w:sz w:val="22"/>
        </w:rPr>
        <w:t>assessment,</w:t>
      </w:r>
      <w:r w:rsidRPr="00300378">
        <w:rPr>
          <w:sz w:val="22"/>
        </w:rPr>
        <w:t xml:space="preserve"> the Council will have regard to the following categories of risk: </w:t>
      </w:r>
    </w:p>
    <w:p w14:paraId="4320E03D" w14:textId="77777777" w:rsidR="00AC2B22" w:rsidRPr="00300378" w:rsidRDefault="00AC2B22">
      <w:pPr>
        <w:spacing w:after="8"/>
        <w:ind w:left="777" w:right="163" w:hanging="432"/>
        <w:rPr>
          <w:sz w:val="22"/>
        </w:rPr>
      </w:pPr>
    </w:p>
    <w:p w14:paraId="5F4954B5" w14:textId="77777777" w:rsidR="003A0CE9" w:rsidRPr="00300378" w:rsidRDefault="003A0CE9">
      <w:pPr>
        <w:spacing w:after="8"/>
        <w:ind w:left="777" w:right="163" w:hanging="432"/>
        <w:rPr>
          <w:sz w:val="22"/>
        </w:rPr>
      </w:pPr>
    </w:p>
    <w:tbl>
      <w:tblPr>
        <w:tblStyle w:val="TableGrid"/>
        <w:tblW w:w="8658" w:type="dxa"/>
        <w:tblInd w:w="365" w:type="dxa"/>
        <w:tblCellMar>
          <w:top w:w="6" w:type="dxa"/>
          <w:left w:w="108" w:type="dxa"/>
          <w:right w:w="225" w:type="dxa"/>
        </w:tblCellMar>
        <w:tblLook w:val="04A0" w:firstRow="1" w:lastRow="0" w:firstColumn="1" w:lastColumn="0" w:noHBand="0" w:noVBand="1"/>
      </w:tblPr>
      <w:tblGrid>
        <w:gridCol w:w="4328"/>
        <w:gridCol w:w="4330"/>
      </w:tblGrid>
      <w:tr w:rsidR="00B46F0F" w:rsidRPr="00300378" w14:paraId="0C7ABA14" w14:textId="77777777" w:rsidTr="00AB2AAD">
        <w:trPr>
          <w:trHeight w:val="1234"/>
        </w:trPr>
        <w:tc>
          <w:tcPr>
            <w:tcW w:w="432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5D250400" w14:textId="7BCBE6D8" w:rsidR="00AB2AAD" w:rsidRPr="00AB2AAD" w:rsidRDefault="00434AF0" w:rsidP="00AB2AAD">
            <w:pPr>
              <w:spacing w:after="0" w:line="259" w:lineRule="auto"/>
              <w:ind w:left="0" w:right="61" w:firstLine="0"/>
              <w:jc w:val="center"/>
              <w:rPr>
                <w:bCs/>
                <w:color w:val="000000"/>
                <w:sz w:val="22"/>
              </w:rPr>
            </w:pPr>
            <w:r w:rsidRPr="00300378">
              <w:rPr>
                <w:bCs/>
                <w:color w:val="000000"/>
                <w:sz w:val="22"/>
              </w:rPr>
              <w:t xml:space="preserve">STRATEGIC </w:t>
            </w:r>
          </w:p>
          <w:p w14:paraId="327B1D37" w14:textId="77777777" w:rsidR="00B46F0F" w:rsidRPr="00300378" w:rsidRDefault="00434AF0">
            <w:pPr>
              <w:spacing w:after="0" w:line="259" w:lineRule="auto"/>
              <w:ind w:left="0" w:right="0" w:firstLine="0"/>
              <w:rPr>
                <w:sz w:val="22"/>
              </w:rPr>
            </w:pPr>
            <w:r w:rsidRPr="00300378">
              <w:rPr>
                <w:color w:val="000000"/>
                <w:sz w:val="22"/>
              </w:rPr>
              <w:t>Risks which may threaten the achievement of the Council’s objectives</w:t>
            </w:r>
            <w:r w:rsidRPr="00300378">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81C8D6A" w14:textId="77777777" w:rsidR="00B46F0F" w:rsidRPr="00300378" w:rsidRDefault="00434AF0">
            <w:pPr>
              <w:spacing w:after="0" w:line="259" w:lineRule="auto"/>
              <w:ind w:left="0" w:right="63" w:firstLine="0"/>
              <w:jc w:val="center"/>
              <w:rPr>
                <w:bCs/>
                <w:sz w:val="22"/>
              </w:rPr>
            </w:pPr>
            <w:r w:rsidRPr="00300378">
              <w:rPr>
                <w:bCs/>
                <w:color w:val="000000"/>
                <w:sz w:val="22"/>
              </w:rPr>
              <w:t xml:space="preserve">OPERATIONAL </w:t>
            </w:r>
          </w:p>
          <w:p w14:paraId="3A69EB75" w14:textId="77777777" w:rsidR="00B46F0F" w:rsidRPr="00300378" w:rsidRDefault="00434AF0">
            <w:pPr>
              <w:spacing w:after="0" w:line="259" w:lineRule="auto"/>
              <w:ind w:left="0" w:right="58" w:firstLine="0"/>
              <w:rPr>
                <w:sz w:val="22"/>
              </w:rPr>
            </w:pPr>
            <w:r w:rsidRPr="00300378">
              <w:rPr>
                <w:color w:val="000000"/>
                <w:sz w:val="22"/>
              </w:rPr>
              <w:t>Risks which Parish Councillors, the Clerk, contractors and volunteers may encounter in the daily course of their work.</w:t>
            </w:r>
            <w:r w:rsidRPr="00300378">
              <w:rPr>
                <w:sz w:val="22"/>
              </w:rPr>
              <w:t xml:space="preserve"> </w:t>
            </w:r>
          </w:p>
        </w:tc>
      </w:tr>
      <w:tr w:rsidR="00B46F0F" w:rsidRPr="00300378" w14:paraId="6411196B" w14:textId="77777777">
        <w:trPr>
          <w:trHeight w:val="989"/>
        </w:trPr>
        <w:tc>
          <w:tcPr>
            <w:tcW w:w="4328" w:type="dxa"/>
            <w:tcBorders>
              <w:top w:val="single" w:sz="4" w:space="0" w:color="000000"/>
              <w:left w:val="single" w:sz="4" w:space="0" w:color="000000"/>
              <w:bottom w:val="single" w:sz="4" w:space="0" w:color="000000"/>
              <w:right w:val="single" w:sz="4" w:space="0" w:color="000000"/>
            </w:tcBorders>
          </w:tcPr>
          <w:p w14:paraId="5B414B2F"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Political:  </w:t>
            </w:r>
          </w:p>
          <w:p w14:paraId="72EE3392" w14:textId="77777777" w:rsidR="00B46F0F" w:rsidRPr="00300378" w:rsidRDefault="00434AF0">
            <w:pPr>
              <w:spacing w:after="0" w:line="259" w:lineRule="auto"/>
              <w:ind w:left="0" w:right="0" w:firstLine="0"/>
              <w:rPr>
                <w:sz w:val="22"/>
              </w:rPr>
            </w:pPr>
            <w:r w:rsidRPr="00300378">
              <w:rPr>
                <w:color w:val="000000"/>
                <w:sz w:val="22"/>
              </w:rPr>
              <w:t>failure to deliver key objectives or policies of other levels of Government</w:t>
            </w:r>
            <w:r w:rsidRPr="00300378">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373D5EA7"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Professional:  </w:t>
            </w:r>
          </w:p>
          <w:p w14:paraId="4864F4D3" w14:textId="77777777" w:rsidR="00B46F0F" w:rsidRPr="00300378" w:rsidRDefault="00434AF0">
            <w:pPr>
              <w:spacing w:after="0" w:line="259" w:lineRule="auto"/>
              <w:ind w:left="0" w:right="0" w:firstLine="0"/>
              <w:jc w:val="left"/>
              <w:rPr>
                <w:sz w:val="22"/>
              </w:rPr>
            </w:pPr>
            <w:r w:rsidRPr="00300378">
              <w:rPr>
                <w:color w:val="000000"/>
                <w:sz w:val="22"/>
              </w:rPr>
              <w:t>professional competencies of staff or contractors</w:t>
            </w:r>
            <w:r w:rsidRPr="00300378">
              <w:rPr>
                <w:sz w:val="22"/>
              </w:rPr>
              <w:t xml:space="preserve"> </w:t>
            </w:r>
          </w:p>
        </w:tc>
      </w:tr>
      <w:tr w:rsidR="00B46F0F" w:rsidRPr="00300378" w14:paraId="5563267D" w14:textId="77777777">
        <w:trPr>
          <w:trHeight w:val="986"/>
        </w:trPr>
        <w:tc>
          <w:tcPr>
            <w:tcW w:w="4328" w:type="dxa"/>
            <w:tcBorders>
              <w:top w:val="single" w:sz="4" w:space="0" w:color="000000"/>
              <w:left w:val="single" w:sz="4" w:space="0" w:color="000000"/>
              <w:bottom w:val="single" w:sz="4" w:space="0" w:color="000000"/>
              <w:right w:val="single" w:sz="4" w:space="0" w:color="000000"/>
            </w:tcBorders>
          </w:tcPr>
          <w:p w14:paraId="7F0904BE" w14:textId="77777777" w:rsidR="00A64C86" w:rsidRPr="00300378" w:rsidRDefault="00434AF0">
            <w:pPr>
              <w:spacing w:after="0" w:line="259" w:lineRule="auto"/>
              <w:ind w:left="0" w:right="61" w:firstLine="0"/>
              <w:jc w:val="left"/>
              <w:rPr>
                <w:color w:val="0070C0"/>
                <w:sz w:val="22"/>
              </w:rPr>
            </w:pPr>
            <w:r w:rsidRPr="00300378">
              <w:rPr>
                <w:color w:val="0070C0"/>
                <w:sz w:val="22"/>
              </w:rPr>
              <w:t xml:space="preserve">Economic:  </w:t>
            </w:r>
          </w:p>
          <w:p w14:paraId="1807FC4A" w14:textId="77777777" w:rsidR="00B46F0F" w:rsidRPr="00300378" w:rsidRDefault="00434AF0">
            <w:pPr>
              <w:spacing w:after="0" w:line="259" w:lineRule="auto"/>
              <w:ind w:left="0" w:right="61" w:firstLine="0"/>
              <w:jc w:val="left"/>
              <w:rPr>
                <w:sz w:val="22"/>
              </w:rPr>
            </w:pPr>
            <w:r w:rsidRPr="00300378">
              <w:rPr>
                <w:color w:val="000000"/>
                <w:sz w:val="22"/>
              </w:rPr>
              <w:t>the Council’s ability to meet its financial commitments</w:t>
            </w:r>
            <w:r w:rsidRPr="00300378">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056661C0"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Financial:  </w:t>
            </w:r>
          </w:p>
          <w:p w14:paraId="43C0C570" w14:textId="77777777" w:rsidR="00B46F0F" w:rsidRPr="00300378" w:rsidRDefault="00434AF0">
            <w:pPr>
              <w:spacing w:after="0" w:line="259" w:lineRule="auto"/>
              <w:ind w:left="0" w:right="0" w:firstLine="0"/>
              <w:rPr>
                <w:sz w:val="22"/>
              </w:rPr>
            </w:pPr>
            <w:r w:rsidRPr="00300378">
              <w:rPr>
                <w:color w:val="000000"/>
                <w:sz w:val="22"/>
              </w:rPr>
              <w:t>financial planning and control and the adequacy of insurance cover</w:t>
            </w:r>
            <w:r w:rsidRPr="00300378">
              <w:rPr>
                <w:sz w:val="22"/>
              </w:rPr>
              <w:t xml:space="preserve"> </w:t>
            </w:r>
          </w:p>
        </w:tc>
      </w:tr>
      <w:tr w:rsidR="00B46F0F" w:rsidRPr="00300378" w14:paraId="5B4A5343" w14:textId="77777777">
        <w:trPr>
          <w:trHeight w:val="991"/>
        </w:trPr>
        <w:tc>
          <w:tcPr>
            <w:tcW w:w="4328" w:type="dxa"/>
            <w:tcBorders>
              <w:top w:val="single" w:sz="4" w:space="0" w:color="000000"/>
              <w:left w:val="single" w:sz="4" w:space="0" w:color="000000"/>
              <w:bottom w:val="single" w:sz="4" w:space="0" w:color="000000"/>
              <w:right w:val="single" w:sz="4" w:space="0" w:color="000000"/>
            </w:tcBorders>
          </w:tcPr>
          <w:p w14:paraId="57C86A37"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Social:  </w:t>
            </w:r>
          </w:p>
          <w:p w14:paraId="3E9FB3E5" w14:textId="77777777" w:rsidR="00B46F0F" w:rsidRPr="00300378" w:rsidRDefault="00434AF0">
            <w:pPr>
              <w:spacing w:after="0" w:line="259" w:lineRule="auto"/>
              <w:ind w:left="0" w:right="57" w:firstLine="0"/>
              <w:rPr>
                <w:sz w:val="22"/>
              </w:rPr>
            </w:pPr>
            <w:r w:rsidRPr="00300378">
              <w:rPr>
                <w:color w:val="000000"/>
                <w:sz w:val="22"/>
              </w:rPr>
              <w:t xml:space="preserve">the effects in changes in demographic, residential or socio-economic trends on the Council’s ability to deliver its objectives </w:t>
            </w:r>
          </w:p>
        </w:tc>
        <w:tc>
          <w:tcPr>
            <w:tcW w:w="4331" w:type="dxa"/>
            <w:tcBorders>
              <w:top w:val="single" w:sz="4" w:space="0" w:color="000000"/>
              <w:left w:val="single" w:sz="4" w:space="0" w:color="000000"/>
              <w:bottom w:val="single" w:sz="4" w:space="0" w:color="000000"/>
              <w:right w:val="single" w:sz="4" w:space="0" w:color="000000"/>
            </w:tcBorders>
          </w:tcPr>
          <w:p w14:paraId="0FC531F5"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Legal:  </w:t>
            </w:r>
          </w:p>
          <w:p w14:paraId="1B1A4EB6" w14:textId="77777777" w:rsidR="00B46F0F" w:rsidRPr="00300378" w:rsidRDefault="00434AF0">
            <w:pPr>
              <w:spacing w:after="0" w:line="259" w:lineRule="auto"/>
              <w:ind w:left="0" w:right="0" w:firstLine="0"/>
              <w:jc w:val="left"/>
              <w:rPr>
                <w:sz w:val="22"/>
              </w:rPr>
            </w:pPr>
            <w:r w:rsidRPr="00300378">
              <w:rPr>
                <w:color w:val="000000"/>
                <w:sz w:val="22"/>
              </w:rPr>
              <w:t>possible breaches of legislation</w:t>
            </w:r>
            <w:r w:rsidRPr="00300378">
              <w:rPr>
                <w:sz w:val="22"/>
              </w:rPr>
              <w:t xml:space="preserve"> </w:t>
            </w:r>
          </w:p>
        </w:tc>
      </w:tr>
      <w:tr w:rsidR="00B46F0F" w:rsidRPr="00300378" w14:paraId="51CEAADF" w14:textId="77777777">
        <w:trPr>
          <w:trHeight w:val="994"/>
        </w:trPr>
        <w:tc>
          <w:tcPr>
            <w:tcW w:w="4328" w:type="dxa"/>
            <w:tcBorders>
              <w:top w:val="single" w:sz="4" w:space="0" w:color="000000"/>
              <w:left w:val="single" w:sz="4" w:space="0" w:color="000000"/>
              <w:bottom w:val="single" w:sz="4" w:space="0" w:color="000000"/>
              <w:right w:val="single" w:sz="4" w:space="0" w:color="000000"/>
            </w:tcBorders>
          </w:tcPr>
          <w:p w14:paraId="4D69258E" w14:textId="77777777" w:rsidR="00B46F0F" w:rsidRPr="00300378" w:rsidRDefault="00434AF0">
            <w:pPr>
              <w:spacing w:after="0" w:line="259" w:lineRule="auto"/>
              <w:ind w:left="0" w:right="59" w:firstLine="0"/>
              <w:rPr>
                <w:sz w:val="22"/>
              </w:rPr>
            </w:pPr>
            <w:r w:rsidRPr="00300378">
              <w:rPr>
                <w:color w:val="0070C0"/>
                <w:sz w:val="22"/>
              </w:rPr>
              <w:t xml:space="preserve">Technological:  </w:t>
            </w:r>
            <w:r w:rsidRPr="00300378">
              <w:rPr>
                <w:color w:val="000000"/>
                <w:sz w:val="22"/>
              </w:rPr>
              <w:t xml:space="preserve">the Council’s capacity to deal with technological change or its ability to use technology to meet changing demands </w:t>
            </w:r>
          </w:p>
        </w:tc>
        <w:tc>
          <w:tcPr>
            <w:tcW w:w="4331" w:type="dxa"/>
            <w:tcBorders>
              <w:top w:val="single" w:sz="4" w:space="0" w:color="000000"/>
              <w:left w:val="single" w:sz="4" w:space="0" w:color="000000"/>
              <w:bottom w:val="single" w:sz="4" w:space="0" w:color="000000"/>
              <w:right w:val="single" w:sz="4" w:space="0" w:color="000000"/>
            </w:tcBorders>
          </w:tcPr>
          <w:p w14:paraId="55D287DC"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Physical:  </w:t>
            </w:r>
          </w:p>
          <w:p w14:paraId="08B2E382" w14:textId="77777777" w:rsidR="00B46F0F" w:rsidRPr="00300378" w:rsidRDefault="00434AF0">
            <w:pPr>
              <w:spacing w:after="0" w:line="259" w:lineRule="auto"/>
              <w:ind w:left="0" w:right="0" w:firstLine="0"/>
              <w:jc w:val="left"/>
              <w:rPr>
                <w:sz w:val="22"/>
              </w:rPr>
            </w:pPr>
            <w:r w:rsidRPr="00300378">
              <w:rPr>
                <w:color w:val="000000"/>
                <w:sz w:val="22"/>
              </w:rPr>
              <w:t>fire, security, accident prevention and health &amp; safety</w:t>
            </w:r>
            <w:r w:rsidRPr="00300378">
              <w:rPr>
                <w:sz w:val="22"/>
              </w:rPr>
              <w:t xml:space="preserve"> </w:t>
            </w:r>
          </w:p>
        </w:tc>
      </w:tr>
      <w:tr w:rsidR="00B46F0F" w:rsidRPr="00300378" w14:paraId="35012125" w14:textId="77777777">
        <w:trPr>
          <w:trHeight w:val="992"/>
        </w:trPr>
        <w:tc>
          <w:tcPr>
            <w:tcW w:w="4328" w:type="dxa"/>
            <w:tcBorders>
              <w:top w:val="single" w:sz="4" w:space="0" w:color="000000"/>
              <w:left w:val="single" w:sz="4" w:space="0" w:color="000000"/>
              <w:bottom w:val="single" w:sz="4" w:space="0" w:color="000000"/>
              <w:right w:val="single" w:sz="4" w:space="0" w:color="000000"/>
            </w:tcBorders>
          </w:tcPr>
          <w:p w14:paraId="007E1325"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Legislative:  </w:t>
            </w:r>
          </w:p>
          <w:p w14:paraId="7FB115A7" w14:textId="77777777" w:rsidR="00B46F0F" w:rsidRPr="00300378" w:rsidRDefault="00434AF0">
            <w:pPr>
              <w:spacing w:after="0" w:line="259" w:lineRule="auto"/>
              <w:ind w:left="0" w:right="0" w:firstLine="0"/>
              <w:rPr>
                <w:sz w:val="22"/>
              </w:rPr>
            </w:pPr>
            <w:r w:rsidRPr="00300378">
              <w:rPr>
                <w:color w:val="000000"/>
                <w:sz w:val="22"/>
              </w:rPr>
              <w:t xml:space="preserve">current or potential changes in national or European law. </w:t>
            </w:r>
          </w:p>
        </w:tc>
        <w:tc>
          <w:tcPr>
            <w:tcW w:w="4331" w:type="dxa"/>
            <w:tcBorders>
              <w:top w:val="single" w:sz="4" w:space="0" w:color="000000"/>
              <w:left w:val="single" w:sz="4" w:space="0" w:color="000000"/>
              <w:bottom w:val="single" w:sz="4" w:space="0" w:color="000000"/>
              <w:right w:val="single" w:sz="4" w:space="0" w:color="000000"/>
            </w:tcBorders>
          </w:tcPr>
          <w:p w14:paraId="4798B61C"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Contractual:  </w:t>
            </w:r>
          </w:p>
          <w:p w14:paraId="488F1ABA" w14:textId="77777777" w:rsidR="00B46F0F" w:rsidRPr="00300378" w:rsidRDefault="00434AF0">
            <w:pPr>
              <w:spacing w:after="0" w:line="259" w:lineRule="auto"/>
              <w:ind w:left="0" w:right="0" w:firstLine="0"/>
              <w:jc w:val="left"/>
              <w:rPr>
                <w:sz w:val="22"/>
              </w:rPr>
            </w:pPr>
            <w:r w:rsidRPr="00300378">
              <w:rPr>
                <w:color w:val="000000"/>
                <w:sz w:val="22"/>
              </w:rPr>
              <w:t>the failure of cont</w:t>
            </w:r>
            <w:r w:rsidR="00A64C86" w:rsidRPr="00300378">
              <w:rPr>
                <w:color w:val="000000"/>
                <w:sz w:val="22"/>
              </w:rPr>
              <w:t xml:space="preserve">ractors to deliver services or goods to agreed costs </w:t>
            </w:r>
            <w:r w:rsidRPr="00300378">
              <w:rPr>
                <w:color w:val="000000"/>
                <w:sz w:val="22"/>
              </w:rPr>
              <w:t>and specifications</w:t>
            </w:r>
            <w:r w:rsidRPr="00300378">
              <w:rPr>
                <w:sz w:val="22"/>
              </w:rPr>
              <w:t xml:space="preserve"> </w:t>
            </w:r>
          </w:p>
        </w:tc>
      </w:tr>
      <w:tr w:rsidR="00B46F0F" w:rsidRPr="00300378" w14:paraId="36F67308" w14:textId="77777777">
        <w:trPr>
          <w:trHeight w:val="1238"/>
        </w:trPr>
        <w:tc>
          <w:tcPr>
            <w:tcW w:w="4328" w:type="dxa"/>
            <w:tcBorders>
              <w:top w:val="single" w:sz="4" w:space="0" w:color="000000"/>
              <w:left w:val="single" w:sz="4" w:space="0" w:color="000000"/>
              <w:bottom w:val="single" w:sz="4" w:space="0" w:color="000000"/>
              <w:right w:val="single" w:sz="4" w:space="0" w:color="000000"/>
            </w:tcBorders>
          </w:tcPr>
          <w:p w14:paraId="07615E8A"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Environmental:  </w:t>
            </w:r>
          </w:p>
          <w:p w14:paraId="3D747C4B" w14:textId="77777777" w:rsidR="00B46F0F" w:rsidRPr="00300378" w:rsidRDefault="00434AF0">
            <w:pPr>
              <w:spacing w:after="0" w:line="259" w:lineRule="auto"/>
              <w:ind w:left="0" w:right="56" w:firstLine="0"/>
              <w:rPr>
                <w:sz w:val="22"/>
              </w:rPr>
            </w:pPr>
            <w:r w:rsidRPr="00300378">
              <w:rPr>
                <w:color w:val="000000"/>
                <w:sz w:val="22"/>
              </w:rPr>
              <w:t xml:space="preserve">the environmental consequences of service delivery (in terms of energy efficiency, pollution, re-cycling, landfill needs, emissions etc) </w:t>
            </w:r>
          </w:p>
        </w:tc>
        <w:tc>
          <w:tcPr>
            <w:tcW w:w="4331" w:type="dxa"/>
            <w:tcBorders>
              <w:top w:val="single" w:sz="4" w:space="0" w:color="000000"/>
              <w:left w:val="single" w:sz="4" w:space="0" w:color="000000"/>
              <w:bottom w:val="single" w:sz="4" w:space="0" w:color="000000"/>
              <w:right w:val="single" w:sz="4" w:space="0" w:color="000000"/>
            </w:tcBorders>
          </w:tcPr>
          <w:p w14:paraId="38D130DF"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Technological:  </w:t>
            </w:r>
          </w:p>
          <w:p w14:paraId="4C4CBCDE" w14:textId="77777777" w:rsidR="00B46F0F" w:rsidRPr="00300378" w:rsidRDefault="00434AF0">
            <w:pPr>
              <w:spacing w:after="0" w:line="259" w:lineRule="auto"/>
              <w:ind w:left="0" w:right="0" w:firstLine="0"/>
              <w:jc w:val="left"/>
              <w:rPr>
                <w:sz w:val="22"/>
              </w:rPr>
            </w:pPr>
            <w:r w:rsidRPr="00300378">
              <w:rPr>
                <w:color w:val="000000"/>
                <w:sz w:val="22"/>
              </w:rPr>
              <w:t>reliance on operational equipment (IT systems or equipment and machinery)</w:t>
            </w:r>
            <w:r w:rsidRPr="00300378">
              <w:rPr>
                <w:sz w:val="22"/>
              </w:rPr>
              <w:t xml:space="preserve"> </w:t>
            </w:r>
          </w:p>
        </w:tc>
      </w:tr>
      <w:tr w:rsidR="00B46F0F" w:rsidRPr="00300378" w14:paraId="11302211" w14:textId="77777777">
        <w:trPr>
          <w:trHeight w:val="746"/>
        </w:trPr>
        <w:tc>
          <w:tcPr>
            <w:tcW w:w="4328" w:type="dxa"/>
            <w:tcBorders>
              <w:top w:val="single" w:sz="4" w:space="0" w:color="000000"/>
              <w:left w:val="single" w:sz="4" w:space="0" w:color="000000"/>
              <w:bottom w:val="single" w:sz="4" w:space="0" w:color="000000"/>
              <w:right w:val="single" w:sz="4" w:space="0" w:color="000000"/>
            </w:tcBorders>
          </w:tcPr>
          <w:p w14:paraId="27A7C057" w14:textId="77777777" w:rsidR="00A64C86" w:rsidRPr="00300378" w:rsidRDefault="00434AF0">
            <w:pPr>
              <w:spacing w:after="0" w:line="259" w:lineRule="auto"/>
              <w:ind w:left="0" w:right="59" w:firstLine="0"/>
              <w:rPr>
                <w:color w:val="0070C0"/>
                <w:sz w:val="22"/>
              </w:rPr>
            </w:pPr>
            <w:r w:rsidRPr="00300378">
              <w:rPr>
                <w:color w:val="0070C0"/>
                <w:sz w:val="22"/>
              </w:rPr>
              <w:t xml:space="preserve">Competitive:  </w:t>
            </w:r>
          </w:p>
          <w:p w14:paraId="698A998D" w14:textId="77777777" w:rsidR="00B46F0F" w:rsidRPr="00300378" w:rsidRDefault="00434AF0">
            <w:pPr>
              <w:spacing w:after="0" w:line="259" w:lineRule="auto"/>
              <w:ind w:left="0" w:right="59" w:firstLine="0"/>
              <w:rPr>
                <w:sz w:val="22"/>
              </w:rPr>
            </w:pPr>
            <w:r w:rsidRPr="00300378">
              <w:rPr>
                <w:color w:val="000000"/>
                <w:sz w:val="22"/>
              </w:rPr>
              <w:t>the competitiveness of the service/ the ability to deliver best value.</w:t>
            </w:r>
            <w:r w:rsidRPr="00300378">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0531AF29" w14:textId="77777777" w:rsidR="00A64C86" w:rsidRPr="00300378" w:rsidRDefault="00434AF0">
            <w:pPr>
              <w:spacing w:after="0" w:line="259" w:lineRule="auto"/>
              <w:ind w:left="0" w:right="56" w:firstLine="0"/>
              <w:rPr>
                <w:color w:val="0070C0"/>
                <w:sz w:val="22"/>
              </w:rPr>
            </w:pPr>
            <w:r w:rsidRPr="00300378">
              <w:rPr>
                <w:color w:val="0070C0"/>
                <w:sz w:val="22"/>
              </w:rPr>
              <w:t xml:space="preserve">Environmental:  </w:t>
            </w:r>
          </w:p>
          <w:p w14:paraId="5E1971D0" w14:textId="77777777" w:rsidR="00B46F0F" w:rsidRPr="00300378" w:rsidRDefault="00434AF0">
            <w:pPr>
              <w:spacing w:after="0" w:line="259" w:lineRule="auto"/>
              <w:ind w:left="0" w:right="56" w:firstLine="0"/>
              <w:rPr>
                <w:sz w:val="22"/>
              </w:rPr>
            </w:pPr>
            <w:r w:rsidRPr="00300378">
              <w:rPr>
                <w:color w:val="000000"/>
                <w:sz w:val="22"/>
              </w:rPr>
              <w:t>pollution, noise or energy efficiency of ongoing service operation.</w:t>
            </w:r>
            <w:r w:rsidRPr="00300378">
              <w:rPr>
                <w:sz w:val="22"/>
              </w:rPr>
              <w:t xml:space="preserve"> </w:t>
            </w:r>
          </w:p>
        </w:tc>
      </w:tr>
      <w:tr w:rsidR="00B46F0F" w:rsidRPr="00300378" w14:paraId="11B059A7" w14:textId="77777777">
        <w:trPr>
          <w:trHeight w:val="747"/>
        </w:trPr>
        <w:tc>
          <w:tcPr>
            <w:tcW w:w="4328" w:type="dxa"/>
            <w:tcBorders>
              <w:top w:val="single" w:sz="4" w:space="0" w:color="000000"/>
              <w:left w:val="single" w:sz="4" w:space="0" w:color="000000"/>
              <w:bottom w:val="single" w:sz="4" w:space="0" w:color="000000"/>
              <w:right w:val="single" w:sz="4" w:space="0" w:color="000000"/>
            </w:tcBorders>
          </w:tcPr>
          <w:p w14:paraId="7E97900F" w14:textId="77777777" w:rsidR="00B46F0F" w:rsidRPr="00300378" w:rsidRDefault="00434AF0">
            <w:pPr>
              <w:spacing w:after="0" w:line="259" w:lineRule="auto"/>
              <w:ind w:left="0" w:right="0" w:firstLine="0"/>
              <w:jc w:val="left"/>
              <w:rPr>
                <w:color w:val="0070C0"/>
                <w:sz w:val="22"/>
              </w:rPr>
            </w:pPr>
            <w:r w:rsidRPr="00300378">
              <w:rPr>
                <w:color w:val="0070C0"/>
                <w:sz w:val="22"/>
              </w:rPr>
              <w:t xml:space="preserve">Customer: </w:t>
            </w:r>
          </w:p>
          <w:p w14:paraId="177E7DE5" w14:textId="77777777" w:rsidR="00B46F0F" w:rsidRPr="00300378" w:rsidRDefault="00434AF0">
            <w:pPr>
              <w:spacing w:after="0" w:line="259" w:lineRule="auto"/>
              <w:ind w:left="0" w:right="0" w:firstLine="0"/>
              <w:rPr>
                <w:sz w:val="22"/>
              </w:rPr>
            </w:pPr>
            <w:r w:rsidRPr="00300378">
              <w:rPr>
                <w:color w:val="000000"/>
                <w:sz w:val="22"/>
              </w:rPr>
              <w:t xml:space="preserve">failure to recognise the changing needs and expectations of the community </w:t>
            </w:r>
          </w:p>
        </w:tc>
        <w:tc>
          <w:tcPr>
            <w:tcW w:w="4331" w:type="dxa"/>
            <w:tcBorders>
              <w:top w:val="single" w:sz="4" w:space="0" w:color="000000"/>
              <w:left w:val="single" w:sz="4" w:space="0" w:color="000000"/>
              <w:bottom w:val="single" w:sz="4" w:space="0" w:color="000000"/>
              <w:right w:val="single" w:sz="4" w:space="0" w:color="000000"/>
            </w:tcBorders>
          </w:tcPr>
          <w:p w14:paraId="6AB08A23" w14:textId="77777777" w:rsidR="00B46F0F" w:rsidRPr="00300378" w:rsidRDefault="00434AF0">
            <w:pPr>
              <w:spacing w:after="0" w:line="259" w:lineRule="auto"/>
              <w:ind w:left="0" w:right="0" w:firstLine="0"/>
              <w:jc w:val="left"/>
              <w:rPr>
                <w:sz w:val="22"/>
              </w:rPr>
            </w:pPr>
            <w:r w:rsidRPr="00300378">
              <w:rPr>
                <w:sz w:val="22"/>
              </w:rPr>
              <w:t xml:space="preserve"> </w:t>
            </w:r>
          </w:p>
        </w:tc>
      </w:tr>
    </w:tbl>
    <w:p w14:paraId="1A7F0DF4" w14:textId="77777777" w:rsidR="00F97233" w:rsidRDefault="00434AF0">
      <w:pPr>
        <w:spacing w:after="4049" w:line="259" w:lineRule="auto"/>
        <w:ind w:left="0" w:right="0" w:firstLine="0"/>
        <w:jc w:val="left"/>
        <w:rPr>
          <w:sz w:val="22"/>
        </w:rPr>
      </w:pPr>
      <w:r w:rsidRPr="00300378">
        <w:rPr>
          <w:sz w:val="22"/>
        </w:rPr>
        <w:t xml:space="preserve"> </w:t>
      </w:r>
    </w:p>
    <w:p w14:paraId="639F8376" w14:textId="2225AD88" w:rsidR="008A53DA" w:rsidRPr="00300378" w:rsidRDefault="008A53DA">
      <w:pPr>
        <w:spacing w:after="4049" w:line="259" w:lineRule="auto"/>
        <w:ind w:left="0" w:right="0" w:firstLine="0"/>
        <w:jc w:val="left"/>
        <w:rPr>
          <w:sz w:val="22"/>
        </w:rPr>
      </w:pPr>
      <w:r>
        <w:rPr>
          <w:sz w:val="22"/>
        </w:rPr>
        <w:lastRenderedPageBreak/>
        <w:t>Reviewed 21 March 2024</w:t>
      </w:r>
    </w:p>
    <w:sectPr w:rsidR="008A53DA" w:rsidRPr="00300378" w:rsidSect="00A063FF">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749" w:right="1436" w:bottom="7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4BEE" w14:textId="77777777" w:rsidR="00A063FF" w:rsidRDefault="00A063FF">
      <w:pPr>
        <w:spacing w:after="0" w:line="240" w:lineRule="auto"/>
      </w:pPr>
      <w:r>
        <w:separator/>
      </w:r>
    </w:p>
  </w:endnote>
  <w:endnote w:type="continuationSeparator" w:id="0">
    <w:p w14:paraId="1C1F623D" w14:textId="77777777" w:rsidR="00A063FF" w:rsidRDefault="00A0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4AFF" w14:textId="77777777" w:rsidR="001D124B" w:rsidRDefault="001D1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A788" w14:textId="77777777" w:rsidR="00EF79E0" w:rsidRDefault="00EF79E0" w:rsidP="00EF79E0">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9904" w14:textId="77777777" w:rsidR="001D124B" w:rsidRDefault="001D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7075" w14:textId="77777777" w:rsidR="00A063FF" w:rsidRDefault="00A063FF">
      <w:pPr>
        <w:spacing w:after="0" w:line="259" w:lineRule="auto"/>
        <w:ind w:left="0" w:right="0" w:firstLine="0"/>
        <w:jc w:val="left"/>
      </w:pPr>
      <w:r>
        <w:separator/>
      </w:r>
    </w:p>
  </w:footnote>
  <w:footnote w:type="continuationSeparator" w:id="0">
    <w:p w14:paraId="2C456751" w14:textId="77777777" w:rsidR="00A063FF" w:rsidRDefault="00A063FF">
      <w:pPr>
        <w:spacing w:after="0" w:line="259" w:lineRule="auto"/>
        <w:ind w:left="0" w:right="0" w:firstLine="0"/>
        <w:jc w:val="left"/>
      </w:pPr>
      <w:r>
        <w:continuationSeparator/>
      </w:r>
    </w:p>
  </w:footnote>
  <w:footnote w:id="1">
    <w:p w14:paraId="178272D8" w14:textId="77777777" w:rsidR="00B46F0F" w:rsidRDefault="00434AF0" w:rsidP="00EF79E0">
      <w:pPr>
        <w:pStyle w:val="footnotedescription"/>
      </w:pPr>
      <w:r>
        <w:rPr>
          <w:rStyle w:val="footnotemark"/>
        </w:rPr>
        <w:footnoteRef/>
      </w:r>
      <w:r>
        <w:t xml:space="preserve"> </w:t>
      </w:r>
      <w:r>
        <w:rPr>
          <w:rFonts w:ascii="Calibri" w:eastAsia="Calibri" w:hAnsi="Calibri" w:cs="Calibri"/>
          <w:sz w:val="20"/>
        </w:rPr>
        <w:t>Audit Commission, Worth the Risk: Improving Risk Management in Local Government (2001)</w:t>
      </w:r>
      <w:r w:rsidR="00EF79E0">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073F" w14:textId="77777777" w:rsidR="001D124B" w:rsidRDefault="001D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8209" w14:textId="77777777" w:rsidR="001D124B" w:rsidRDefault="001D1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7921" w14:textId="77777777" w:rsidR="001D124B" w:rsidRDefault="001D1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7722"/>
    <w:multiLevelType w:val="hybridMultilevel"/>
    <w:tmpl w:val="2FB0CB00"/>
    <w:lvl w:ilvl="0" w:tplc="3962F4DA">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D6FA1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5AACC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E4A8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F2EF00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2E5A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7811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5721DC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D8ABBF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6E3EBA"/>
    <w:multiLevelType w:val="hybridMultilevel"/>
    <w:tmpl w:val="72F47276"/>
    <w:lvl w:ilvl="0" w:tplc="7710FE48">
      <w:start w:val="1"/>
      <w:numFmt w:val="lowerLetter"/>
      <w:lvlText w:val="%1)"/>
      <w:lvlJc w:val="left"/>
      <w:pPr>
        <w:ind w:left="1037"/>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1" w:tplc="D97C1D9E">
      <w:start w:val="1"/>
      <w:numFmt w:val="lowerLetter"/>
      <w:lvlText w:val="%2"/>
      <w:lvlJc w:val="left"/>
      <w:pPr>
        <w:ind w:left="187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2" w:tplc="78B082BE">
      <w:start w:val="1"/>
      <w:numFmt w:val="lowerRoman"/>
      <w:lvlText w:val="%3"/>
      <w:lvlJc w:val="left"/>
      <w:pPr>
        <w:ind w:left="259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3" w:tplc="2E885BB8">
      <w:start w:val="1"/>
      <w:numFmt w:val="decimal"/>
      <w:lvlText w:val="%4"/>
      <w:lvlJc w:val="left"/>
      <w:pPr>
        <w:ind w:left="331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4" w:tplc="288E1FB2">
      <w:start w:val="1"/>
      <w:numFmt w:val="lowerLetter"/>
      <w:lvlText w:val="%5"/>
      <w:lvlJc w:val="left"/>
      <w:pPr>
        <w:ind w:left="403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5" w:tplc="48E86446">
      <w:start w:val="1"/>
      <w:numFmt w:val="lowerRoman"/>
      <w:lvlText w:val="%6"/>
      <w:lvlJc w:val="left"/>
      <w:pPr>
        <w:ind w:left="475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6" w:tplc="35D6E130">
      <w:start w:val="1"/>
      <w:numFmt w:val="decimal"/>
      <w:lvlText w:val="%7"/>
      <w:lvlJc w:val="left"/>
      <w:pPr>
        <w:ind w:left="547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7" w:tplc="900806DA">
      <w:start w:val="1"/>
      <w:numFmt w:val="lowerLetter"/>
      <w:lvlText w:val="%8"/>
      <w:lvlJc w:val="left"/>
      <w:pPr>
        <w:ind w:left="619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lvl w:ilvl="8" w:tplc="2D662DF2">
      <w:start w:val="1"/>
      <w:numFmt w:val="lowerRoman"/>
      <w:lvlText w:val="%9"/>
      <w:lvlJc w:val="left"/>
      <w:pPr>
        <w:ind w:left="6912"/>
      </w:pPr>
      <w:rPr>
        <w:rFonts w:ascii="Arial" w:eastAsia="Arial" w:hAnsi="Arial" w:cs="Arial"/>
        <w:b w:val="0"/>
        <w:i w:val="0"/>
        <w:strike w:val="0"/>
        <w:dstrike w:val="0"/>
        <w:color w:val="131313"/>
        <w:sz w:val="21"/>
        <w:szCs w:val="21"/>
        <w:u w:val="none" w:color="000000"/>
        <w:bdr w:val="none" w:sz="0" w:space="0" w:color="auto"/>
        <w:shd w:val="clear" w:color="auto" w:fill="auto"/>
        <w:vertAlign w:val="baseline"/>
      </w:rPr>
    </w:lvl>
  </w:abstractNum>
  <w:num w:numId="1" w16cid:durableId="1456439054">
    <w:abstractNumId w:val="1"/>
  </w:num>
  <w:num w:numId="2" w16cid:durableId="214264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0F"/>
    <w:rsid w:val="00025BA3"/>
    <w:rsid w:val="00123BBB"/>
    <w:rsid w:val="001D124B"/>
    <w:rsid w:val="00300378"/>
    <w:rsid w:val="00330675"/>
    <w:rsid w:val="0033658F"/>
    <w:rsid w:val="003A0CE9"/>
    <w:rsid w:val="00434AF0"/>
    <w:rsid w:val="00493594"/>
    <w:rsid w:val="005A4CD3"/>
    <w:rsid w:val="007A7615"/>
    <w:rsid w:val="007F27CE"/>
    <w:rsid w:val="008A53DA"/>
    <w:rsid w:val="00A063FF"/>
    <w:rsid w:val="00A64C86"/>
    <w:rsid w:val="00AA4497"/>
    <w:rsid w:val="00AB2AAD"/>
    <w:rsid w:val="00AC2B22"/>
    <w:rsid w:val="00B46F0F"/>
    <w:rsid w:val="00C62416"/>
    <w:rsid w:val="00CC2D8A"/>
    <w:rsid w:val="00D37DB7"/>
    <w:rsid w:val="00DD050E"/>
    <w:rsid w:val="00EC3721"/>
    <w:rsid w:val="00EF79E0"/>
    <w:rsid w:val="00F77936"/>
    <w:rsid w:val="00F9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0465"/>
  <w15:docId w15:val="{8CF220B3-03B7-4425-A9AF-D49B3357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50" w:lineRule="auto"/>
      <w:ind w:left="370" w:right="176" w:hanging="10"/>
      <w:jc w:val="both"/>
    </w:pPr>
    <w:rPr>
      <w:rFonts w:ascii="Arial" w:eastAsia="Arial" w:hAnsi="Arial" w:cs="Arial"/>
      <w:color w:val="131313"/>
      <w:sz w:val="21"/>
    </w:rPr>
  </w:style>
  <w:style w:type="paragraph" w:styleId="Heading1">
    <w:name w:val="heading 1"/>
    <w:next w:val="Normal"/>
    <w:link w:val="Heading1Char"/>
    <w:uiPriority w:val="9"/>
    <w:unhideWhenUsed/>
    <w:qFormat/>
    <w:pPr>
      <w:keepNext/>
      <w:keepLines/>
      <w:numPr>
        <w:numId w:val="2"/>
      </w:numPr>
      <w:spacing w:after="211"/>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EF79E0"/>
    <w:pPr>
      <w:widowControl w:val="0"/>
      <w:overflowPunct w:val="0"/>
      <w:autoSpaceDE w:val="0"/>
      <w:autoSpaceDN w:val="0"/>
      <w:adjustRightInd w:val="0"/>
      <w:spacing w:after="0" w:line="240" w:lineRule="auto"/>
      <w:ind w:left="0" w:right="0" w:firstLine="0"/>
      <w:jc w:val="center"/>
    </w:pPr>
    <w:rPr>
      <w:rFonts w:ascii="Times New Roman" w:eastAsia="Times New Roman" w:hAnsi="Times New Roman" w:cs="Times New Roman"/>
      <w:b/>
      <w:color w:val="auto"/>
      <w:sz w:val="40"/>
      <w:szCs w:val="20"/>
      <w:lang w:eastAsia="en-US"/>
    </w:rPr>
  </w:style>
  <w:style w:type="character" w:customStyle="1" w:styleId="TitleChar">
    <w:name w:val="Title Char"/>
    <w:basedOn w:val="DefaultParagraphFont"/>
    <w:link w:val="Title"/>
    <w:rsid w:val="00EF79E0"/>
    <w:rPr>
      <w:rFonts w:ascii="Times New Roman" w:eastAsia="Times New Roman" w:hAnsi="Times New Roman" w:cs="Times New Roman"/>
      <w:b/>
      <w:sz w:val="40"/>
      <w:szCs w:val="20"/>
      <w:lang w:eastAsia="en-US"/>
    </w:rPr>
  </w:style>
  <w:style w:type="paragraph" w:styleId="Header">
    <w:name w:val="header"/>
    <w:basedOn w:val="Normal"/>
    <w:link w:val="HeaderChar"/>
    <w:uiPriority w:val="99"/>
    <w:unhideWhenUsed/>
    <w:rsid w:val="00EF7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9E0"/>
    <w:rPr>
      <w:rFonts w:ascii="Arial" w:eastAsia="Arial" w:hAnsi="Arial" w:cs="Arial"/>
      <w:color w:val="131313"/>
      <w:sz w:val="21"/>
    </w:rPr>
  </w:style>
  <w:style w:type="paragraph" w:styleId="Footer">
    <w:name w:val="footer"/>
    <w:basedOn w:val="Normal"/>
    <w:link w:val="FooterChar"/>
    <w:uiPriority w:val="99"/>
    <w:unhideWhenUsed/>
    <w:rsid w:val="00EF7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9E0"/>
    <w:rPr>
      <w:rFonts w:ascii="Arial" w:eastAsia="Arial" w:hAnsi="Arial" w:cs="Arial"/>
      <w:color w:val="131313"/>
      <w:sz w:val="21"/>
    </w:rPr>
  </w:style>
  <w:style w:type="paragraph" w:styleId="ListParagraph">
    <w:name w:val="List Paragraph"/>
    <w:basedOn w:val="Normal"/>
    <w:uiPriority w:val="34"/>
    <w:qFormat/>
    <w:rsid w:val="0012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6" ma:contentTypeDescription="Create a new document." ma:contentTypeScope="" ma:versionID="4b8893192aac5c27cba7ed860f9a798c">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ea6f00f7e6032ac28a7d04770b667a68"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A3383-69C6-4070-AA39-D40B5EF005EA}">
  <ds:schemaRefs>
    <ds:schemaRef ds:uri="http://schemas.microsoft.com/sharepoint/v3/contenttype/forms"/>
  </ds:schemaRefs>
</ds:datastoreItem>
</file>

<file path=customXml/itemProps2.xml><?xml version="1.0" encoding="utf-8"?>
<ds:datastoreItem xmlns:ds="http://schemas.openxmlformats.org/officeDocument/2006/customXml" ds:itemID="{8B33717A-8796-4432-84B4-3A4C3252E3C8}">
  <ds:schemaRefs>
    <ds:schemaRef ds:uri="http://schemas.microsoft.com/office/2006/metadata/properties"/>
    <ds:schemaRef ds:uri="http://schemas.microsoft.com/office/infopath/2007/PartnerControls"/>
    <ds:schemaRef ds:uri="9eafa98b-b626-481a-9148-7ad0e2ff5e91"/>
    <ds:schemaRef ds:uri="341b23f9-35a8-4f89-8366-3aef52b673c5"/>
  </ds:schemaRefs>
</ds:datastoreItem>
</file>

<file path=customXml/itemProps3.xml><?xml version="1.0" encoding="utf-8"?>
<ds:datastoreItem xmlns:ds="http://schemas.openxmlformats.org/officeDocument/2006/customXml" ds:itemID="{B23693D9-BAF2-42AA-823E-6635B8C397A3}">
  <ds:schemaRefs>
    <ds:schemaRef ds:uri="http://schemas.openxmlformats.org/officeDocument/2006/bibliography"/>
  </ds:schemaRefs>
</ds:datastoreItem>
</file>

<file path=customXml/itemProps4.xml><?xml version="1.0" encoding="utf-8"?>
<ds:datastoreItem xmlns:ds="http://schemas.openxmlformats.org/officeDocument/2006/customXml" ds:itemID="{4EE9063E-FD74-4C5C-8BFB-CFB22C168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Clerk</cp:lastModifiedBy>
  <cp:revision>2</cp:revision>
  <cp:lastPrinted>2021-04-15T14:36:00Z</cp:lastPrinted>
  <dcterms:created xsi:type="dcterms:W3CDTF">2024-06-11T16:27:00Z</dcterms:created>
  <dcterms:modified xsi:type="dcterms:W3CDTF">2024-06-11T16:27:00Z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ies>
</file>