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7500" w14:textId="77777777" w:rsidR="005007BC" w:rsidRPr="00975BD1" w:rsidRDefault="005007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1134"/>
        <w:gridCol w:w="4253"/>
      </w:tblGrid>
      <w:tr w:rsidR="005007BC" w:rsidRPr="00975BD1" w14:paraId="41CC1E4B" w14:textId="77777777" w:rsidTr="0062611E">
        <w:trPr>
          <w:trHeight w:val="432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14:paraId="01AF6BED" w14:textId="38009649" w:rsidR="005007BC" w:rsidRPr="0062611E" w:rsidRDefault="009611A8">
            <w:pPr>
              <w:spacing w:before="120" w:after="120"/>
              <w:ind w:left="1" w:hanging="3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2611E">
              <w:rPr>
                <w:rFonts w:ascii="Arial" w:eastAsia="Calibri" w:hAnsi="Arial" w:cs="Arial"/>
                <w:b/>
                <w:sz w:val="32"/>
                <w:szCs w:val="32"/>
              </w:rPr>
              <w:t>Tangmere Parish</w:t>
            </w:r>
            <w:r w:rsidR="00A07C9C" w:rsidRPr="0062611E">
              <w:rPr>
                <w:rFonts w:ascii="Arial" w:eastAsia="Calibri" w:hAnsi="Arial" w:cs="Arial"/>
                <w:b/>
                <w:sz w:val="32"/>
                <w:szCs w:val="32"/>
              </w:rPr>
              <w:t xml:space="preserve"> Council – Risk </w:t>
            </w:r>
            <w:r w:rsidR="008705C1">
              <w:rPr>
                <w:rFonts w:ascii="Arial" w:eastAsia="Calibri" w:hAnsi="Arial" w:cs="Arial"/>
                <w:b/>
                <w:sz w:val="32"/>
                <w:szCs w:val="32"/>
              </w:rPr>
              <w:t>Assessment</w:t>
            </w:r>
          </w:p>
        </w:tc>
      </w:tr>
      <w:tr w:rsidR="005007BC" w:rsidRPr="00975BD1" w14:paraId="40BE7F09" w14:textId="77777777" w:rsidTr="0062611E">
        <w:tc>
          <w:tcPr>
            <w:tcW w:w="10774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1609AEEF" w14:textId="6EB7E567" w:rsidR="005007BC" w:rsidRDefault="00A07C9C">
            <w:pPr>
              <w:spacing w:before="40" w:after="4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Risk Assessment</w:t>
            </w:r>
          </w:p>
          <w:p w14:paraId="4EB2E9C1" w14:textId="006FB134" w:rsidR="00190559" w:rsidRPr="00975BD1" w:rsidRDefault="00190559">
            <w:pPr>
              <w:spacing w:before="40" w:after="4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151633D3" w14:textId="77777777" w:rsidTr="00B51B32">
        <w:tc>
          <w:tcPr>
            <w:tcW w:w="1702" w:type="dxa"/>
            <w:shd w:val="clear" w:color="auto" w:fill="auto"/>
          </w:tcPr>
          <w:p w14:paraId="671C41A7" w14:textId="637CFF3B" w:rsidR="00190559" w:rsidRPr="00031E7B" w:rsidRDefault="00A07C9C" w:rsidP="00031E7B">
            <w:pPr>
              <w:ind w:left="0" w:hanging="2"/>
              <w:jc w:val="center"/>
              <w:rPr>
                <w:rFonts w:ascii="Arial" w:eastAsia="Calibri" w:hAnsi="Arial" w:cs="Arial"/>
                <w:b/>
              </w:rPr>
            </w:pPr>
            <w:r w:rsidRPr="00190559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685" w:type="dxa"/>
            <w:shd w:val="clear" w:color="auto" w:fill="auto"/>
          </w:tcPr>
          <w:p w14:paraId="420F8526" w14:textId="77777777" w:rsidR="005007BC" w:rsidRPr="00190559" w:rsidRDefault="00A07C9C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190559">
              <w:rPr>
                <w:rFonts w:ascii="Arial" w:eastAsia="Calibri" w:hAnsi="Arial" w:cs="Arial"/>
                <w:b/>
              </w:rPr>
              <w:t>Risk</w:t>
            </w:r>
          </w:p>
        </w:tc>
        <w:tc>
          <w:tcPr>
            <w:tcW w:w="1134" w:type="dxa"/>
            <w:shd w:val="clear" w:color="auto" w:fill="auto"/>
          </w:tcPr>
          <w:p w14:paraId="6873E8B4" w14:textId="77777777" w:rsidR="005007BC" w:rsidRPr="00190559" w:rsidRDefault="00A07C9C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190559">
              <w:rPr>
                <w:rFonts w:ascii="Arial" w:eastAsia="Calibri" w:hAnsi="Arial" w:cs="Arial"/>
                <w:b/>
              </w:rPr>
              <w:t>Level</w:t>
            </w:r>
          </w:p>
        </w:tc>
        <w:tc>
          <w:tcPr>
            <w:tcW w:w="4253" w:type="dxa"/>
            <w:shd w:val="clear" w:color="auto" w:fill="auto"/>
          </w:tcPr>
          <w:p w14:paraId="41B342CB" w14:textId="77777777" w:rsidR="005007BC" w:rsidRPr="00190559" w:rsidRDefault="00A07C9C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190559">
              <w:rPr>
                <w:rFonts w:ascii="Arial" w:eastAsia="Calibri" w:hAnsi="Arial" w:cs="Arial"/>
                <w:b/>
              </w:rPr>
              <w:t>Controls</w:t>
            </w:r>
          </w:p>
        </w:tc>
      </w:tr>
      <w:tr w:rsidR="005007BC" w:rsidRPr="00975BD1" w14:paraId="20E3F290" w14:textId="77777777" w:rsidTr="004B2A8B">
        <w:tc>
          <w:tcPr>
            <w:tcW w:w="1702" w:type="dxa"/>
            <w:shd w:val="clear" w:color="auto" w:fill="DBE5F1" w:themeFill="accent1" w:themeFillTint="33"/>
          </w:tcPr>
          <w:p w14:paraId="0FCEE379" w14:textId="77777777" w:rsidR="005007BC" w:rsidRPr="003247E1" w:rsidRDefault="00A07C9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3247E1">
              <w:rPr>
                <w:rFonts w:ascii="Arial" w:eastAsia="Calibri" w:hAnsi="Arial" w:cs="Arial"/>
              </w:rPr>
              <w:t>Assets</w:t>
            </w:r>
          </w:p>
        </w:tc>
        <w:tc>
          <w:tcPr>
            <w:tcW w:w="3685" w:type="dxa"/>
            <w:shd w:val="clear" w:color="auto" w:fill="auto"/>
          </w:tcPr>
          <w:p w14:paraId="0EF946D1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Protection of physical assets</w:t>
            </w:r>
          </w:p>
        </w:tc>
        <w:tc>
          <w:tcPr>
            <w:tcW w:w="1134" w:type="dxa"/>
            <w:shd w:val="clear" w:color="auto" w:fill="FFF1C5"/>
          </w:tcPr>
          <w:p w14:paraId="0C1E79B3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4071B72C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Buildings insured. Value increased annually RPI</w:t>
            </w:r>
          </w:p>
          <w:p w14:paraId="5C817B0B" w14:textId="77777777" w:rsidR="00DA5685" w:rsidRDefault="005A4B5E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Full Valuation carried out in 2022</w:t>
            </w:r>
            <w:r w:rsidR="00D80B65" w:rsidRPr="00975BD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82F7D3B" w14:textId="50AC5F96" w:rsidR="00165629" w:rsidRPr="00975BD1" w:rsidRDefault="00165629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21A55D6B" w14:textId="77777777" w:rsidTr="004B2A8B">
        <w:tc>
          <w:tcPr>
            <w:tcW w:w="1702" w:type="dxa"/>
            <w:shd w:val="clear" w:color="auto" w:fill="DBE5F1" w:themeFill="accent1" w:themeFillTint="33"/>
          </w:tcPr>
          <w:p w14:paraId="63DD45A4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3AC5A1C9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Security of buildings etc.</w:t>
            </w:r>
          </w:p>
          <w:p w14:paraId="4ADC6380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E20A48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4DEDE7" w14:textId="77777777" w:rsidR="005007BC" w:rsidRPr="00975BD1" w:rsidRDefault="005007BC" w:rsidP="003247E1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1C5"/>
          </w:tcPr>
          <w:p w14:paraId="3FAC9999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5B8D64E3" w14:textId="08A89DF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Fire Alarm </w:t>
            </w:r>
            <w:proofErr w:type="gramStart"/>
            <w:r w:rsidRPr="00975BD1">
              <w:rPr>
                <w:rFonts w:ascii="Arial" w:eastAsia="Calibri" w:hAnsi="Arial" w:cs="Arial"/>
                <w:sz w:val="22"/>
                <w:szCs w:val="22"/>
              </w:rPr>
              <w:t>on</w:t>
            </w:r>
            <w:proofErr w:type="gramEnd"/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Village Centre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Controlled fob entry</w:t>
            </w:r>
            <w:r w:rsidR="00165629">
              <w:rPr>
                <w:rFonts w:ascii="Arial" w:eastAsia="Calibri" w:hAnsi="Arial" w:cs="Arial"/>
                <w:sz w:val="22"/>
                <w:szCs w:val="22"/>
              </w:rPr>
              <w:t xml:space="preserve">.  Register kept of </w:t>
            </w:r>
            <w:r w:rsidR="004A1172">
              <w:rPr>
                <w:rFonts w:ascii="Arial" w:eastAsia="Calibri" w:hAnsi="Arial" w:cs="Arial"/>
                <w:sz w:val="22"/>
                <w:szCs w:val="22"/>
              </w:rPr>
              <w:t xml:space="preserve">all </w:t>
            </w:r>
            <w:r w:rsidR="00165629">
              <w:rPr>
                <w:rFonts w:ascii="Arial" w:eastAsia="Calibri" w:hAnsi="Arial" w:cs="Arial"/>
                <w:sz w:val="22"/>
                <w:szCs w:val="22"/>
              </w:rPr>
              <w:t>fob holders</w:t>
            </w:r>
            <w:r w:rsidR="00845C98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4565E55" w14:textId="7F02FFD7" w:rsidR="005007BC" w:rsidRDefault="00A07C9C" w:rsidP="006262C0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CCTV at the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Village Centre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0F6B4792" w14:textId="194999FA" w:rsidR="00165629" w:rsidRPr="00975BD1" w:rsidRDefault="00165629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7A2300D3" w14:textId="77777777" w:rsidTr="004B2A8B">
        <w:tc>
          <w:tcPr>
            <w:tcW w:w="1702" w:type="dxa"/>
            <w:shd w:val="clear" w:color="auto" w:fill="DBE5F1" w:themeFill="accent1" w:themeFillTint="33"/>
          </w:tcPr>
          <w:p w14:paraId="5FFDA03F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1FF96A94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Maintenance of buildings etc.</w:t>
            </w:r>
          </w:p>
        </w:tc>
        <w:tc>
          <w:tcPr>
            <w:tcW w:w="1134" w:type="dxa"/>
            <w:shd w:val="clear" w:color="auto" w:fill="FFF1C5"/>
          </w:tcPr>
          <w:p w14:paraId="3E7A7380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21AFE333" w14:textId="6441ABF2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Buildings maintained on a regular basis.</w:t>
            </w:r>
          </w:p>
          <w:p w14:paraId="11BE0004" w14:textId="77777777" w:rsidR="00CB68AD" w:rsidRDefault="00CB68AD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Urgent action taken when a question of safety is raised.</w:t>
            </w:r>
          </w:p>
          <w:p w14:paraId="7AADD721" w14:textId="53C8C73E" w:rsidR="00845C98" w:rsidRPr="00975BD1" w:rsidRDefault="00845C9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20A49" w:rsidRPr="00975BD1" w14:paraId="0723C1AF" w14:textId="77777777" w:rsidTr="004B2A8B">
        <w:tc>
          <w:tcPr>
            <w:tcW w:w="1702" w:type="dxa"/>
            <w:shd w:val="clear" w:color="auto" w:fill="DBE5F1" w:themeFill="accent1" w:themeFillTint="33"/>
          </w:tcPr>
          <w:p w14:paraId="0B2B04C4" w14:textId="77777777" w:rsidR="00620A49" w:rsidRPr="003247E1" w:rsidRDefault="00620A49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C628E53" w14:textId="6C43A8F8" w:rsidR="00620A49" w:rsidRPr="00975BD1" w:rsidRDefault="00866BD9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Maintenance</w:t>
            </w:r>
            <w:r w:rsidR="005A6451" w:rsidRPr="00975BD1">
              <w:rPr>
                <w:rFonts w:ascii="Arial" w:eastAsia="Calibri" w:hAnsi="Arial" w:cs="Arial"/>
                <w:sz w:val="22"/>
                <w:szCs w:val="22"/>
              </w:rPr>
              <w:t xml:space="preserve"> of</w:t>
            </w:r>
            <w:r w:rsidR="00620A49" w:rsidRPr="00975BD1">
              <w:rPr>
                <w:rFonts w:ascii="Arial" w:eastAsia="Calibri" w:hAnsi="Arial" w:cs="Arial"/>
                <w:sz w:val="22"/>
                <w:szCs w:val="22"/>
              </w:rPr>
              <w:t xml:space="preserve"> PC-owned trees</w:t>
            </w:r>
          </w:p>
        </w:tc>
        <w:tc>
          <w:tcPr>
            <w:tcW w:w="1134" w:type="dxa"/>
            <w:shd w:val="clear" w:color="auto" w:fill="FFF1C5"/>
          </w:tcPr>
          <w:p w14:paraId="3BFAC5B1" w14:textId="7863F699" w:rsidR="00620A49" w:rsidRPr="00975BD1" w:rsidRDefault="00090329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  <w:shd w:val="clear" w:color="auto" w:fill="FFFFFF" w:themeFill="background1"/>
          </w:tcPr>
          <w:p w14:paraId="17A64273" w14:textId="77777777" w:rsidR="006262C0" w:rsidRDefault="005A6451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Annual </w:t>
            </w:r>
            <w:r w:rsidR="0019531C" w:rsidRPr="00975BD1">
              <w:rPr>
                <w:rFonts w:ascii="Arial" w:eastAsia="Calibri" w:hAnsi="Arial" w:cs="Arial"/>
                <w:sz w:val="22"/>
                <w:szCs w:val="22"/>
              </w:rPr>
              <w:t xml:space="preserve">survey </w:t>
            </w:r>
            <w:r w:rsidR="006262C0">
              <w:rPr>
                <w:rFonts w:ascii="Arial" w:eastAsia="Calibri" w:hAnsi="Arial" w:cs="Arial"/>
                <w:sz w:val="22"/>
                <w:szCs w:val="22"/>
              </w:rPr>
              <w:t xml:space="preserve">undertaken </w:t>
            </w:r>
            <w:r w:rsidR="0019531C" w:rsidRPr="00975BD1">
              <w:rPr>
                <w:rFonts w:ascii="Arial" w:eastAsia="Calibri" w:hAnsi="Arial" w:cs="Arial"/>
                <w:sz w:val="22"/>
                <w:szCs w:val="22"/>
              </w:rPr>
              <w:t xml:space="preserve">of trees with a stem diameter of more than 75mm and/or </w:t>
            </w:r>
            <w:proofErr w:type="gramStart"/>
            <w:r w:rsidR="0019531C" w:rsidRPr="00975BD1">
              <w:rPr>
                <w:rFonts w:ascii="Arial" w:eastAsia="Calibri" w:hAnsi="Arial" w:cs="Arial"/>
                <w:sz w:val="22"/>
                <w:szCs w:val="22"/>
              </w:rPr>
              <w:t>in excess of</w:t>
            </w:r>
            <w:proofErr w:type="gramEnd"/>
            <w:r w:rsidR="0019531C" w:rsidRPr="00975BD1">
              <w:rPr>
                <w:rFonts w:ascii="Arial" w:eastAsia="Calibri" w:hAnsi="Arial" w:cs="Arial"/>
                <w:sz w:val="22"/>
                <w:szCs w:val="22"/>
              </w:rPr>
              <w:t xml:space="preserve"> 2.5m tall by a qualified </w:t>
            </w:r>
            <w:r w:rsidR="00241BD4" w:rsidRPr="00975BD1">
              <w:rPr>
                <w:rFonts w:ascii="Arial" w:eastAsia="Calibri" w:hAnsi="Arial" w:cs="Arial"/>
                <w:sz w:val="22"/>
                <w:szCs w:val="22"/>
              </w:rPr>
              <w:t>arboriculturist</w:t>
            </w:r>
            <w:r w:rsidR="00866BD9" w:rsidRPr="00975BD1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4AD0F13E" w14:textId="324C579A" w:rsidR="00620A49" w:rsidRDefault="0057407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Urgent</w:t>
            </w:r>
            <w:r w:rsidR="00866BD9" w:rsidRPr="00975BD1">
              <w:rPr>
                <w:rFonts w:ascii="Arial" w:eastAsia="Calibri" w:hAnsi="Arial" w:cs="Arial"/>
                <w:sz w:val="22"/>
                <w:szCs w:val="22"/>
              </w:rPr>
              <w:t xml:space="preserve"> action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taken </w:t>
            </w:r>
            <w:r w:rsidR="00866BD9" w:rsidRPr="00975BD1">
              <w:rPr>
                <w:rFonts w:ascii="Arial" w:eastAsia="Calibri" w:hAnsi="Arial" w:cs="Arial"/>
                <w:sz w:val="22"/>
                <w:szCs w:val="22"/>
              </w:rPr>
              <w:t xml:space="preserve">when a question of safety is raised.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Non-urgent maintenance work carried out </w:t>
            </w:r>
            <w:r w:rsidR="004A1172">
              <w:rPr>
                <w:rFonts w:ascii="Arial" w:eastAsia="Calibri" w:hAnsi="Arial" w:cs="Arial"/>
                <w:sz w:val="22"/>
                <w:szCs w:val="22"/>
              </w:rPr>
              <w:t>on a regular basis</w:t>
            </w:r>
            <w:r w:rsidR="00866BD9" w:rsidRPr="00975BD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E7EF257" w14:textId="6FE3F7CC" w:rsidR="006262C0" w:rsidRPr="00975BD1" w:rsidRDefault="006262C0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1BE4E8BC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2BE397F6" w14:textId="77777777" w:rsidR="005007BC" w:rsidRPr="003247E1" w:rsidRDefault="00A07C9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3247E1">
              <w:rPr>
                <w:rFonts w:ascii="Arial" w:eastAsia="Calibri" w:hAnsi="Arial" w:cs="Arial"/>
              </w:rPr>
              <w:t>Finance</w:t>
            </w:r>
          </w:p>
        </w:tc>
        <w:tc>
          <w:tcPr>
            <w:tcW w:w="3685" w:type="dxa"/>
            <w:shd w:val="clear" w:color="auto" w:fill="auto"/>
          </w:tcPr>
          <w:p w14:paraId="55499534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Banking</w:t>
            </w:r>
          </w:p>
          <w:p w14:paraId="7C875178" w14:textId="77777777" w:rsidR="00405644" w:rsidRDefault="00405644" w:rsidP="00405644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7206BF" w14:textId="7EF44851" w:rsidR="005007BC" w:rsidRPr="00975BD1" w:rsidRDefault="00A07C9C" w:rsidP="00405644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Direct debits, standing orders and internet banking</w:t>
            </w:r>
          </w:p>
        </w:tc>
        <w:tc>
          <w:tcPr>
            <w:tcW w:w="1134" w:type="dxa"/>
            <w:shd w:val="clear" w:color="auto" w:fill="FFF1C5"/>
          </w:tcPr>
          <w:p w14:paraId="3D79BCCE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024D0893" w14:textId="77777777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4EABCB" w14:textId="67275ABE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D1260E" w14:textId="77777777" w:rsidR="00A07C9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217406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2F6CDC87" w14:textId="304BD550" w:rsidR="005007BC" w:rsidRPr="00975BD1" w:rsidRDefault="004A1172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Bank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Account </w:t>
            </w:r>
            <w:r w:rsidR="004E0B0B">
              <w:rPr>
                <w:rFonts w:ascii="Arial" w:eastAsia="Calibri" w:hAnsi="Arial" w:cs="Arial"/>
                <w:sz w:val="22"/>
                <w:szCs w:val="22"/>
              </w:rPr>
              <w:t>held at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Unity Trust Bank</w:t>
            </w:r>
          </w:p>
          <w:p w14:paraId="2A7AEEB4" w14:textId="77777777" w:rsidR="00405644" w:rsidRDefault="00405644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3A7A3E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Payments can be made by direct debit, standing orders or internet banking. 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 xml:space="preserve">One of two staff </w:t>
            </w:r>
            <w:r w:rsidR="004E0B0B">
              <w:rPr>
                <w:rFonts w:ascii="Arial" w:eastAsia="Calibri" w:hAnsi="Arial" w:cs="Arial"/>
                <w:sz w:val="22"/>
                <w:szCs w:val="22"/>
              </w:rPr>
              <w:t xml:space="preserve">members </w:t>
            </w:r>
            <w:r w:rsidR="00031E7B" w:rsidRPr="00975BD1">
              <w:rPr>
                <w:rFonts w:ascii="Arial" w:eastAsia="Calibri" w:hAnsi="Arial" w:cs="Arial"/>
                <w:sz w:val="22"/>
                <w:szCs w:val="22"/>
              </w:rPr>
              <w:t>is required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 xml:space="preserve"> to set up payments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and two </w:t>
            </w:r>
            <w:r w:rsidR="00A66B73" w:rsidRPr="00975BD1">
              <w:rPr>
                <w:rFonts w:ascii="Arial" w:eastAsia="Calibri" w:hAnsi="Arial" w:cs="Arial"/>
                <w:sz w:val="22"/>
                <w:szCs w:val="22"/>
              </w:rPr>
              <w:t xml:space="preserve">of four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Parish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Councillor</w:t>
            </w:r>
            <w:r w:rsidR="00D229C6" w:rsidRPr="00975BD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are required to authorise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payments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E54F26B" w14:textId="6E4D6725" w:rsidR="00C613C2" w:rsidRPr="00975BD1" w:rsidRDefault="00C613C2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728DC483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37C1437F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46C3E2B1" w14:textId="0B6B0B04" w:rsidR="005007BC" w:rsidRPr="00975BD1" w:rsidRDefault="00A07C9C" w:rsidP="003C30D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Risk of consequential loss of income</w:t>
            </w:r>
          </w:p>
        </w:tc>
        <w:tc>
          <w:tcPr>
            <w:tcW w:w="1134" w:type="dxa"/>
            <w:shd w:val="clear" w:color="auto" w:fill="FFF1C5"/>
          </w:tcPr>
          <w:p w14:paraId="63DC83BB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0ABBD843" w14:textId="77777777" w:rsidR="005007BC" w:rsidRPr="00975BD1" w:rsidRDefault="005007BC" w:rsidP="003C30D3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643151" w14:textId="1131ECC1" w:rsidR="005007BC" w:rsidRPr="00975BD1" w:rsidRDefault="005007BC" w:rsidP="00C613C2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EAC4988" w14:textId="261510CA" w:rsidR="005007BC" w:rsidRPr="00975BD1" w:rsidRDefault="00C613C2" w:rsidP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Valid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Insurance cover. Water </w:t>
            </w: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eter to be checked for leaks each month.</w:t>
            </w:r>
          </w:p>
        </w:tc>
      </w:tr>
      <w:tr w:rsidR="005007BC" w:rsidRPr="00975BD1" w14:paraId="4FA86946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43B8DB30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0A54BE36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Loss of cash through theft or dishonesty.</w:t>
            </w:r>
          </w:p>
          <w:p w14:paraId="79A8B3B2" w14:textId="77777777" w:rsidR="00FB12A3" w:rsidRDefault="00FB12A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5BD952F" w14:textId="76E35C98" w:rsidR="00FB12A3" w:rsidRPr="00975BD1" w:rsidRDefault="00FB12A3" w:rsidP="00FB12A3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Reimbursement of expenses</w:t>
            </w:r>
          </w:p>
        </w:tc>
        <w:tc>
          <w:tcPr>
            <w:tcW w:w="1134" w:type="dxa"/>
            <w:shd w:val="clear" w:color="auto" w:fill="E5F4D4"/>
          </w:tcPr>
          <w:p w14:paraId="7510F042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L</w:t>
            </w:r>
          </w:p>
        </w:tc>
        <w:tc>
          <w:tcPr>
            <w:tcW w:w="4253" w:type="dxa"/>
          </w:tcPr>
          <w:p w14:paraId="59FE9E81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Receipts issued. Cash </w:t>
            </w:r>
            <w:r w:rsidR="003C30D3">
              <w:rPr>
                <w:rFonts w:ascii="Arial" w:eastAsia="Calibri" w:hAnsi="Arial" w:cs="Arial"/>
                <w:sz w:val="22"/>
                <w:szCs w:val="22"/>
              </w:rPr>
              <w:t>levels</w:t>
            </w:r>
            <w:r w:rsidR="00E522CB">
              <w:rPr>
                <w:rFonts w:ascii="Arial" w:eastAsia="Calibri" w:hAnsi="Arial" w:cs="Arial"/>
                <w:sz w:val="22"/>
                <w:szCs w:val="22"/>
              </w:rPr>
              <w:t xml:space="preserve"> are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low. Fidelity guarantee insurance in place.</w:t>
            </w:r>
          </w:p>
          <w:p w14:paraId="234ED73D" w14:textId="77777777" w:rsidR="00FB12A3" w:rsidRDefault="00FB12A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8E96907" w14:textId="066060D7" w:rsidR="00214550" w:rsidRDefault="00214550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Expenses forms </w:t>
            </w:r>
            <w:r w:rsidR="00917688">
              <w:rPr>
                <w:rFonts w:ascii="Arial" w:eastAsia="Calibri" w:hAnsi="Arial" w:cs="Arial"/>
                <w:sz w:val="22"/>
                <w:szCs w:val="22"/>
              </w:rPr>
              <w:t xml:space="preserve">to accompany requests for reimbursement of </w:t>
            </w:r>
            <w:r w:rsidR="00FB12A3">
              <w:rPr>
                <w:rFonts w:ascii="Arial" w:eastAsia="Calibri" w:hAnsi="Arial" w:cs="Arial"/>
                <w:sz w:val="22"/>
                <w:szCs w:val="22"/>
              </w:rPr>
              <w:t>expenses. Requests to only be made by Councillors or Proper Officer.</w:t>
            </w:r>
          </w:p>
          <w:p w14:paraId="25DDF90F" w14:textId="53C6CFBB" w:rsidR="00FB12A3" w:rsidRPr="00975BD1" w:rsidRDefault="00FB12A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BD9" w:rsidRPr="00975BD1" w14:paraId="076C4E65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48DFF14C" w14:textId="77777777" w:rsidR="00866BD9" w:rsidRPr="003247E1" w:rsidRDefault="00866BD9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238DE9A" w14:textId="5EF5FB4E" w:rsidR="00866BD9" w:rsidRPr="00975BD1" w:rsidRDefault="0057407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Price </w:t>
            </w:r>
            <w:r w:rsidR="00DA5685" w:rsidRPr="00975BD1">
              <w:rPr>
                <w:rFonts w:ascii="Arial" w:eastAsia="Calibri" w:hAnsi="Arial" w:cs="Arial"/>
                <w:sz w:val="22"/>
                <w:szCs w:val="22"/>
              </w:rPr>
              <w:t xml:space="preserve">increases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(esp</w:t>
            </w:r>
            <w:r w:rsidR="0025111E">
              <w:rPr>
                <w:rFonts w:ascii="Arial" w:eastAsia="Calibri" w:hAnsi="Arial" w:cs="Arial"/>
                <w:sz w:val="22"/>
                <w:szCs w:val="22"/>
              </w:rPr>
              <w:t>ecially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energy prices) not budgeted for.</w:t>
            </w:r>
          </w:p>
        </w:tc>
        <w:tc>
          <w:tcPr>
            <w:tcW w:w="1134" w:type="dxa"/>
            <w:shd w:val="clear" w:color="auto" w:fill="FFF1C5"/>
          </w:tcPr>
          <w:p w14:paraId="6AC0ACA9" w14:textId="0A255E28" w:rsidR="00866BD9" w:rsidRPr="00975BD1" w:rsidRDefault="0057407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  <w:shd w:val="clear" w:color="auto" w:fill="FFFFFF" w:themeFill="background1"/>
          </w:tcPr>
          <w:p w14:paraId="6DB3E6DE" w14:textId="00ED46DB" w:rsidR="00866BD9" w:rsidRDefault="0057407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Use of energy broker </w:t>
            </w:r>
            <w:r w:rsidR="00271941" w:rsidRPr="00975BD1">
              <w:rPr>
                <w:rFonts w:ascii="Arial" w:eastAsia="Calibri" w:hAnsi="Arial" w:cs="Arial"/>
                <w:sz w:val="22"/>
                <w:szCs w:val="22"/>
              </w:rPr>
              <w:t>and regular fixing of energy prices</w:t>
            </w:r>
            <w:r w:rsidR="00840890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CACACC0" w14:textId="445E340D" w:rsidR="00FB12A3" w:rsidRPr="00975BD1" w:rsidRDefault="00FB12A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2FDCEBCF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0ADB7E72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218E90FD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Financial controls and records.</w:t>
            </w:r>
          </w:p>
        </w:tc>
        <w:tc>
          <w:tcPr>
            <w:tcW w:w="1134" w:type="dxa"/>
            <w:shd w:val="clear" w:color="auto" w:fill="FFF1C5"/>
          </w:tcPr>
          <w:p w14:paraId="755D0EE0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0E10A6D5" w14:textId="29C3E58D" w:rsidR="005007BC" w:rsidRPr="00975BD1" w:rsidRDefault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Regular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reconciliation prepared and reported to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Finance Committee or</w:t>
            </w:r>
            <w:r w:rsidR="00D16CE9"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Council. Internal and external audit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recommendations implemented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5007BC" w:rsidRPr="00975BD1" w14:paraId="0D1C26CE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494F210A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7BB3695A" w14:textId="688E1BAE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Comply with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HMRC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Regulations</w:t>
            </w:r>
          </w:p>
        </w:tc>
        <w:tc>
          <w:tcPr>
            <w:tcW w:w="1134" w:type="dxa"/>
            <w:shd w:val="clear" w:color="auto" w:fill="FFF1C5"/>
          </w:tcPr>
          <w:p w14:paraId="2CDD910A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42509B1F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VAT payments and claims submitted as required. Internal auditor to provide double check. </w:t>
            </w:r>
          </w:p>
          <w:p w14:paraId="4B120379" w14:textId="77777777" w:rsidR="00840890" w:rsidRPr="00975BD1" w:rsidRDefault="00840890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3376F3E3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0C096B41" w14:textId="77777777" w:rsidR="005007BC" w:rsidRPr="003247E1" w:rsidRDefault="005007BC" w:rsidP="008F330B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60645BDA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Sound budgeting to underlie annual precept.</w:t>
            </w:r>
          </w:p>
        </w:tc>
        <w:tc>
          <w:tcPr>
            <w:tcW w:w="1134" w:type="dxa"/>
            <w:shd w:val="clear" w:color="auto" w:fill="FFF1C5"/>
          </w:tcPr>
          <w:p w14:paraId="05249FBA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5B678C29" w14:textId="6A6DE9D1" w:rsidR="009A5A1E" w:rsidRDefault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975BD1">
              <w:rPr>
                <w:rFonts w:ascii="Arial" w:eastAsia="Calibri" w:hAnsi="Arial" w:cs="Arial"/>
                <w:sz w:val="22"/>
                <w:szCs w:val="22"/>
              </w:rPr>
              <w:t>Finance</w:t>
            </w:r>
            <w:proofErr w:type="gramEnd"/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Committee and Council receive detailed budgets in </w:t>
            </w:r>
            <w:r w:rsidR="004D661F">
              <w:rPr>
                <w:rFonts w:ascii="Arial" w:eastAsia="Calibri" w:hAnsi="Arial" w:cs="Arial"/>
                <w:sz w:val="22"/>
                <w:szCs w:val="22"/>
              </w:rPr>
              <w:t>October/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November</w:t>
            </w:r>
            <w:r w:rsidR="004D661F">
              <w:rPr>
                <w:rFonts w:ascii="Arial" w:eastAsia="Calibri" w:hAnsi="Arial" w:cs="Arial"/>
                <w:sz w:val="22"/>
                <w:szCs w:val="22"/>
              </w:rPr>
              <w:t xml:space="preserve"> for </w:t>
            </w:r>
            <w:r w:rsidR="009A5A1E">
              <w:rPr>
                <w:rFonts w:ascii="Arial" w:eastAsia="Calibri" w:hAnsi="Arial" w:cs="Arial"/>
                <w:sz w:val="22"/>
                <w:szCs w:val="22"/>
              </w:rPr>
              <w:t>the following</w:t>
            </w:r>
            <w:r w:rsidR="004D661F">
              <w:rPr>
                <w:rFonts w:ascii="Arial" w:eastAsia="Calibri" w:hAnsi="Arial" w:cs="Arial"/>
                <w:sz w:val="22"/>
                <w:szCs w:val="22"/>
              </w:rPr>
              <w:t xml:space="preserve"> Financial Year</w:t>
            </w:r>
            <w:r w:rsidR="004A28DC">
              <w:rPr>
                <w:rFonts w:ascii="Arial" w:eastAsia="Calibri" w:hAnsi="Arial" w:cs="Arial"/>
                <w:sz w:val="22"/>
                <w:szCs w:val="22"/>
              </w:rPr>
              <w:t xml:space="preserve">, revised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December</w:t>
            </w:r>
            <w:r w:rsidR="004A28D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D661F">
              <w:rPr>
                <w:rFonts w:ascii="Arial" w:eastAsia="Calibri" w:hAnsi="Arial" w:cs="Arial"/>
                <w:sz w:val="22"/>
                <w:szCs w:val="22"/>
              </w:rPr>
              <w:t xml:space="preserve">for </w:t>
            </w:r>
            <w:r w:rsidR="004A28DC">
              <w:rPr>
                <w:rFonts w:ascii="Arial" w:eastAsia="Calibri" w:hAnsi="Arial" w:cs="Arial"/>
                <w:sz w:val="22"/>
                <w:szCs w:val="22"/>
              </w:rPr>
              <w:t>approv</w:t>
            </w:r>
            <w:r w:rsidR="004D661F">
              <w:rPr>
                <w:rFonts w:ascii="Arial" w:eastAsia="Calibri" w:hAnsi="Arial" w:cs="Arial"/>
                <w:sz w:val="22"/>
                <w:szCs w:val="22"/>
              </w:rPr>
              <w:t>al</w:t>
            </w:r>
            <w:r w:rsidR="004A28DC">
              <w:rPr>
                <w:rFonts w:ascii="Arial" w:eastAsia="Calibri" w:hAnsi="Arial" w:cs="Arial"/>
                <w:sz w:val="22"/>
                <w:szCs w:val="22"/>
              </w:rPr>
              <w:t xml:space="preserve"> in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January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each year. </w:t>
            </w:r>
            <w:proofErr w:type="gramStart"/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Precept</w:t>
            </w:r>
            <w:proofErr w:type="gramEnd"/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derived directly from the budget.  </w:t>
            </w:r>
          </w:p>
          <w:p w14:paraId="713719D3" w14:textId="77777777" w:rsidR="005007BC" w:rsidRDefault="009611A8" w:rsidP="009A5A1E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975BD1">
              <w:rPr>
                <w:rFonts w:ascii="Arial" w:eastAsia="Calibri" w:hAnsi="Arial" w:cs="Arial"/>
                <w:sz w:val="22"/>
                <w:szCs w:val="22"/>
              </w:rPr>
              <w:t>Finance</w:t>
            </w:r>
            <w:proofErr w:type="gramEnd"/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Committee receives regular budget monitoring reports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004A28DC">
              <w:rPr>
                <w:rFonts w:ascii="Arial" w:eastAsia="Calibri" w:hAnsi="Arial" w:cs="Arial"/>
                <w:sz w:val="22"/>
                <w:szCs w:val="22"/>
              </w:rPr>
              <w:t xml:space="preserve">Two appointed Financial Scrutineers from Finance Committee to undertake quarterly scrutiny of </w:t>
            </w:r>
            <w:r w:rsidR="000A21F7">
              <w:rPr>
                <w:rFonts w:ascii="Arial" w:eastAsia="Calibri" w:hAnsi="Arial" w:cs="Arial"/>
                <w:sz w:val="22"/>
                <w:szCs w:val="22"/>
              </w:rPr>
              <w:t>sample of accounts.</w:t>
            </w:r>
          </w:p>
          <w:p w14:paraId="69105AC4" w14:textId="04B1538A" w:rsidR="000A21F7" w:rsidRPr="00975BD1" w:rsidRDefault="000A21F7" w:rsidP="009A5A1E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30F5C2EA" w14:textId="77777777" w:rsidTr="004B2A8B">
        <w:trPr>
          <w:trHeight w:val="1340"/>
        </w:trPr>
        <w:tc>
          <w:tcPr>
            <w:tcW w:w="1702" w:type="dxa"/>
            <w:shd w:val="clear" w:color="auto" w:fill="DBE5F1" w:themeFill="accent1" w:themeFillTint="33"/>
          </w:tcPr>
          <w:p w14:paraId="75770768" w14:textId="4C85C89B" w:rsidR="004B271D" w:rsidRPr="003247E1" w:rsidRDefault="008F330B" w:rsidP="008F330B">
            <w:pPr>
              <w:ind w:leftChars="0" w:left="0" w:firstLineChars="0" w:firstLine="0"/>
              <w:jc w:val="center"/>
              <w:rPr>
                <w:rFonts w:ascii="Arial" w:eastAsia="Calibri" w:hAnsi="Arial" w:cs="Arial"/>
              </w:rPr>
            </w:pPr>
            <w:r w:rsidRPr="008F330B">
              <w:rPr>
                <w:rFonts w:ascii="Arial" w:eastAsia="Calibri" w:hAnsi="Arial" w:cs="Arial"/>
                <w:shd w:val="clear" w:color="auto" w:fill="DBE5F1" w:themeFill="accent1" w:themeFillTint="33"/>
              </w:rPr>
              <w:t>Liability</w:t>
            </w:r>
          </w:p>
        </w:tc>
        <w:tc>
          <w:tcPr>
            <w:tcW w:w="3685" w:type="dxa"/>
            <w:shd w:val="clear" w:color="auto" w:fill="auto"/>
          </w:tcPr>
          <w:p w14:paraId="7264069B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Risk to third party, property or individuals.</w:t>
            </w:r>
          </w:p>
        </w:tc>
        <w:tc>
          <w:tcPr>
            <w:tcW w:w="1134" w:type="dxa"/>
            <w:shd w:val="clear" w:color="auto" w:fill="FFF1C5"/>
          </w:tcPr>
          <w:p w14:paraId="025E62D2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10885DCC" w14:textId="4A6B05C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Insurance in place. Playing fields </w:t>
            </w:r>
            <w:r w:rsidR="000A21F7">
              <w:rPr>
                <w:rFonts w:ascii="Arial" w:eastAsia="Calibri" w:hAnsi="Arial" w:cs="Arial"/>
                <w:sz w:val="22"/>
                <w:szCs w:val="22"/>
              </w:rPr>
              <w:t>and</w:t>
            </w:r>
            <w:r w:rsidR="00AF4C92">
              <w:rPr>
                <w:rFonts w:ascii="Arial" w:eastAsia="Calibri" w:hAnsi="Arial" w:cs="Arial"/>
                <w:sz w:val="22"/>
                <w:szCs w:val="22"/>
              </w:rPr>
              <w:t xml:space="preserve"> playground equipment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checked regularly. Investigations </w:t>
            </w:r>
            <w:proofErr w:type="gramStart"/>
            <w:r w:rsidRPr="00975BD1">
              <w:rPr>
                <w:rFonts w:ascii="Arial" w:eastAsia="Calibri" w:hAnsi="Arial" w:cs="Arial"/>
                <w:sz w:val="22"/>
                <w:szCs w:val="22"/>
              </w:rPr>
              <w:t>carried</w:t>
            </w:r>
            <w:proofErr w:type="gramEnd"/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out when damage </w:t>
            </w:r>
            <w:r w:rsidR="00AF4C92">
              <w:rPr>
                <w:rFonts w:ascii="Arial" w:eastAsia="Calibri" w:hAnsi="Arial" w:cs="Arial"/>
                <w:sz w:val="22"/>
                <w:szCs w:val="22"/>
              </w:rPr>
              <w:t xml:space="preserve">is </w:t>
            </w:r>
            <w:proofErr w:type="gramStart"/>
            <w:r w:rsidRPr="00975BD1">
              <w:rPr>
                <w:rFonts w:ascii="Arial" w:eastAsia="Calibri" w:hAnsi="Arial" w:cs="Arial"/>
                <w:sz w:val="22"/>
                <w:szCs w:val="22"/>
              </w:rPr>
              <w:t>reported</w:t>
            </w:r>
            <w:proofErr w:type="gramEnd"/>
            <w:r w:rsidR="00503DE5">
              <w:rPr>
                <w:rFonts w:ascii="Arial" w:eastAsia="Calibri" w:hAnsi="Arial" w:cs="Arial"/>
                <w:sz w:val="22"/>
                <w:szCs w:val="22"/>
              </w:rPr>
              <w:t xml:space="preserve"> and u</w:t>
            </w:r>
            <w:r w:rsidR="007F2230">
              <w:rPr>
                <w:rFonts w:ascii="Arial" w:eastAsia="Calibri" w:hAnsi="Arial" w:cs="Arial"/>
                <w:sz w:val="22"/>
                <w:szCs w:val="22"/>
              </w:rPr>
              <w:t>rgent action taken when a</w:t>
            </w:r>
            <w:r w:rsidR="003534EE">
              <w:rPr>
                <w:rFonts w:ascii="Arial" w:eastAsia="Calibri" w:hAnsi="Arial" w:cs="Arial"/>
                <w:sz w:val="22"/>
                <w:szCs w:val="22"/>
              </w:rPr>
              <w:t xml:space="preserve"> safety issue</w:t>
            </w:r>
            <w:r w:rsidR="007F2230">
              <w:rPr>
                <w:rFonts w:ascii="Arial" w:eastAsia="Calibri" w:hAnsi="Arial" w:cs="Arial"/>
                <w:sz w:val="22"/>
                <w:szCs w:val="22"/>
              </w:rPr>
              <w:t xml:space="preserve"> is </w:t>
            </w:r>
            <w:r w:rsidR="00503DE5">
              <w:rPr>
                <w:rFonts w:ascii="Arial" w:eastAsia="Calibri" w:hAnsi="Arial" w:cs="Arial"/>
                <w:sz w:val="22"/>
                <w:szCs w:val="22"/>
              </w:rPr>
              <w:t>identified</w:t>
            </w:r>
            <w:r w:rsidR="003534E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A01C52A" w14:textId="5ECB93F8" w:rsidR="00503DE5" w:rsidRPr="00975BD1" w:rsidRDefault="00503DE5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70A7FA48" w14:textId="77777777" w:rsidTr="009A5743">
        <w:tc>
          <w:tcPr>
            <w:tcW w:w="1702" w:type="dxa"/>
            <w:shd w:val="clear" w:color="auto" w:fill="DBE5F1" w:themeFill="accent1" w:themeFillTint="33"/>
          </w:tcPr>
          <w:p w14:paraId="477FDCC7" w14:textId="77777777" w:rsidR="005007BC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  <w:shd w:val="clear" w:color="auto" w:fill="FABF8F"/>
              </w:rPr>
            </w:pPr>
          </w:p>
          <w:p w14:paraId="5F434FB7" w14:textId="774DC47F" w:rsidR="004B271D" w:rsidRPr="003247E1" w:rsidRDefault="004B271D" w:rsidP="004B271D">
            <w:pPr>
              <w:ind w:left="0" w:hanging="2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34560EFA" w14:textId="2859630D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Legal liability as consequence of asset ownership.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64894B15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021262AA" w14:textId="4949DCF1" w:rsidR="005007BC" w:rsidRPr="00975BD1" w:rsidRDefault="003534EE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Valid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Insurance in place. Weekly checks of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Village Centre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and written records kept. Regular maintenance and repairs undertaken.</w:t>
            </w:r>
            <w:r w:rsidR="00305017">
              <w:rPr>
                <w:rFonts w:ascii="Arial" w:eastAsia="Calibri" w:hAnsi="Arial" w:cs="Arial"/>
                <w:sz w:val="22"/>
                <w:szCs w:val="22"/>
              </w:rPr>
              <w:t xml:space="preserve"> Urgent action taken when a safety issue is reported.</w:t>
            </w:r>
          </w:p>
          <w:p w14:paraId="165FB4CE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210DC7A2" w14:textId="77777777" w:rsidTr="009A5743">
        <w:trPr>
          <w:trHeight w:val="74"/>
        </w:trPr>
        <w:tc>
          <w:tcPr>
            <w:tcW w:w="1702" w:type="dxa"/>
            <w:shd w:val="clear" w:color="auto" w:fill="FDE9D9" w:themeFill="accent6" w:themeFillTint="33"/>
          </w:tcPr>
          <w:p w14:paraId="77399CE1" w14:textId="77777777" w:rsidR="005007BC" w:rsidRPr="003247E1" w:rsidRDefault="00A07C9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3247E1">
              <w:rPr>
                <w:rFonts w:ascii="Arial" w:eastAsia="Calibri" w:hAnsi="Arial" w:cs="Arial"/>
              </w:rPr>
              <w:t>Employer Liability</w:t>
            </w:r>
          </w:p>
        </w:tc>
        <w:tc>
          <w:tcPr>
            <w:tcW w:w="3685" w:type="dxa"/>
            <w:shd w:val="clear" w:color="auto" w:fill="auto"/>
          </w:tcPr>
          <w:p w14:paraId="78446656" w14:textId="156874E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Compl</w:t>
            </w:r>
            <w:r w:rsidR="007E04F3">
              <w:rPr>
                <w:rFonts w:ascii="Arial" w:eastAsia="Calibri" w:hAnsi="Arial" w:cs="Arial"/>
                <w:sz w:val="22"/>
                <w:szCs w:val="22"/>
              </w:rPr>
              <w:t>iance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with Employment Law</w:t>
            </w:r>
          </w:p>
        </w:tc>
        <w:tc>
          <w:tcPr>
            <w:tcW w:w="1134" w:type="dxa"/>
            <w:shd w:val="clear" w:color="auto" w:fill="FFF1C5"/>
          </w:tcPr>
          <w:p w14:paraId="7316E228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22501950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Membership of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WSA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LC and NALC.  Contracts of employment</w:t>
            </w:r>
            <w:r w:rsidR="00B24575">
              <w:rPr>
                <w:rFonts w:ascii="Arial" w:eastAsia="Calibri" w:hAnsi="Arial" w:cs="Arial"/>
                <w:sz w:val="22"/>
                <w:szCs w:val="22"/>
              </w:rPr>
              <w:t xml:space="preserve"> based on standard NALC model contracts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; Grievance and Disciplinary Procedures, based on NALC models, procedures to be strictly followed.</w:t>
            </w:r>
            <w:r w:rsidR="00476898">
              <w:rPr>
                <w:rFonts w:ascii="Arial" w:eastAsia="Calibri" w:hAnsi="Arial" w:cs="Arial"/>
                <w:sz w:val="22"/>
                <w:szCs w:val="22"/>
              </w:rPr>
              <w:t xml:space="preserve"> Annual Appraisals undertaken.</w:t>
            </w:r>
          </w:p>
          <w:p w14:paraId="4FEF0E8B" w14:textId="520D1EE3" w:rsidR="007C7D58" w:rsidRPr="00975BD1" w:rsidRDefault="007C7D5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4D516081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28B0633A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11DB6597" w14:textId="611BC756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Compl</w:t>
            </w:r>
            <w:r w:rsidR="007E04F3">
              <w:rPr>
                <w:rFonts w:ascii="Arial" w:eastAsia="Calibri" w:hAnsi="Arial" w:cs="Arial"/>
                <w:sz w:val="22"/>
                <w:szCs w:val="22"/>
              </w:rPr>
              <w:t>iance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with HMRC requirements.</w:t>
            </w:r>
          </w:p>
        </w:tc>
        <w:tc>
          <w:tcPr>
            <w:tcW w:w="1134" w:type="dxa"/>
            <w:shd w:val="clear" w:color="auto" w:fill="FFF1C5"/>
          </w:tcPr>
          <w:p w14:paraId="28D50A34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013611A1" w14:textId="77777777" w:rsidR="00C37FCD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Notifications and advice from HMRC. </w:t>
            </w:r>
            <w:proofErr w:type="gramStart"/>
            <w:r w:rsidR="00305017">
              <w:rPr>
                <w:rFonts w:ascii="Arial" w:eastAsia="Calibri" w:hAnsi="Arial" w:cs="Arial"/>
                <w:sz w:val="22"/>
                <w:szCs w:val="22"/>
              </w:rPr>
              <w:t>Third</w:t>
            </w:r>
            <w:proofErr w:type="gramEnd"/>
            <w:r w:rsidR="00305017">
              <w:rPr>
                <w:rFonts w:ascii="Arial" w:eastAsia="Calibri" w:hAnsi="Arial" w:cs="Arial"/>
                <w:sz w:val="22"/>
                <w:szCs w:val="22"/>
              </w:rPr>
              <w:t xml:space="preserve"> party (Payroll Provider) acts as agent</w:t>
            </w:r>
            <w:r w:rsidR="00285546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14:paraId="7F03E15E" w14:textId="3BBA9D6C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Internal auditor carries out annual checks.</w:t>
            </w:r>
          </w:p>
          <w:p w14:paraId="0FF53726" w14:textId="2D714149" w:rsidR="007E04F3" w:rsidRPr="00975BD1" w:rsidRDefault="007E04F3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5B8531F3" w14:textId="77777777" w:rsidTr="009A5743">
        <w:trPr>
          <w:trHeight w:val="413"/>
        </w:trPr>
        <w:tc>
          <w:tcPr>
            <w:tcW w:w="1702" w:type="dxa"/>
            <w:vMerge w:val="restart"/>
            <w:shd w:val="clear" w:color="auto" w:fill="FDE9D9" w:themeFill="accent6" w:themeFillTint="33"/>
          </w:tcPr>
          <w:p w14:paraId="45F01B71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27598B14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Safety of staff and visitors.</w:t>
            </w:r>
          </w:p>
        </w:tc>
        <w:tc>
          <w:tcPr>
            <w:tcW w:w="1134" w:type="dxa"/>
            <w:vMerge w:val="restart"/>
            <w:shd w:val="clear" w:color="auto" w:fill="FFF1C5"/>
          </w:tcPr>
          <w:p w14:paraId="31394D9E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7A274972" w14:textId="50399841" w:rsidR="005007BC" w:rsidRDefault="00A07C9C" w:rsidP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Health and Safety Policy in place –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weekly checks of Village Centre and records kept</w:t>
            </w:r>
            <w:r w:rsidR="00C37FC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2DA62FD1" w14:textId="2B18F196" w:rsidR="00C37FCD" w:rsidRPr="00975BD1" w:rsidRDefault="00C37FCD" w:rsidP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02B84F76" w14:textId="77777777" w:rsidTr="009A5743">
        <w:trPr>
          <w:trHeight w:val="412"/>
        </w:trPr>
        <w:tc>
          <w:tcPr>
            <w:tcW w:w="1702" w:type="dxa"/>
            <w:vMerge/>
            <w:shd w:val="clear" w:color="auto" w:fill="FDE9D9" w:themeFill="accent6" w:themeFillTint="33"/>
          </w:tcPr>
          <w:p w14:paraId="1FDA2CFE" w14:textId="77777777" w:rsidR="005007BC" w:rsidRPr="003247E1" w:rsidRDefault="005007BC" w:rsidP="00324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FFCCD77" w14:textId="77777777" w:rsidR="005007BC" w:rsidRPr="00975BD1" w:rsidRDefault="00500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1C5"/>
          </w:tcPr>
          <w:p w14:paraId="706302C1" w14:textId="77777777" w:rsidR="005007BC" w:rsidRPr="00975BD1" w:rsidRDefault="00500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A6F014F" w14:textId="77777777" w:rsidR="005007BC" w:rsidRDefault="005A6451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Village Centre -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premise</w:t>
            </w:r>
            <w:r w:rsidR="00285546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licensed by 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DC for public use.</w:t>
            </w:r>
          </w:p>
          <w:p w14:paraId="216D8C9E" w14:textId="6CE25D8A" w:rsidR="00C37FCD" w:rsidRPr="00975BD1" w:rsidRDefault="00C37FCD">
            <w:pPr>
              <w:ind w:left="0" w:hanging="2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  <w:tr w:rsidR="00114550" w:rsidRPr="00975BD1" w14:paraId="09D0291E" w14:textId="77777777" w:rsidTr="009A5743">
        <w:tc>
          <w:tcPr>
            <w:tcW w:w="1702" w:type="dxa"/>
            <w:shd w:val="clear" w:color="auto" w:fill="DBE5F1" w:themeFill="accent1" w:themeFillTint="33"/>
          </w:tcPr>
          <w:p w14:paraId="2B888D13" w14:textId="77777777" w:rsidR="00114550" w:rsidRPr="003247E1" w:rsidRDefault="00114550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3247E1">
              <w:rPr>
                <w:rFonts w:ascii="Arial" w:eastAsia="Calibri" w:hAnsi="Arial" w:cs="Arial"/>
              </w:rPr>
              <w:t>Safeguarding</w:t>
            </w:r>
          </w:p>
        </w:tc>
        <w:tc>
          <w:tcPr>
            <w:tcW w:w="3685" w:type="dxa"/>
            <w:shd w:val="clear" w:color="auto" w:fill="auto"/>
          </w:tcPr>
          <w:p w14:paraId="3098C947" w14:textId="2E53074F" w:rsidR="00114550" w:rsidRPr="00975BD1" w:rsidRDefault="00114550" w:rsidP="00285584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Safety of </w:t>
            </w:r>
            <w:r w:rsidR="00DA5685" w:rsidRPr="00975BD1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hildren and </w:t>
            </w:r>
            <w:r w:rsidR="00DA5685" w:rsidRPr="00975BD1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ulnerable </w:t>
            </w:r>
            <w:r w:rsidR="00DA5685" w:rsidRPr="00975BD1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dults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706E652F" w14:textId="7A90045B" w:rsidR="00114550" w:rsidRPr="00975BD1" w:rsidRDefault="00114550" w:rsidP="00285584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H</w:t>
            </w:r>
          </w:p>
        </w:tc>
        <w:tc>
          <w:tcPr>
            <w:tcW w:w="4253" w:type="dxa"/>
            <w:shd w:val="clear" w:color="auto" w:fill="auto"/>
          </w:tcPr>
          <w:p w14:paraId="225DD2F7" w14:textId="77777777" w:rsidR="00114550" w:rsidRDefault="00AC7A47" w:rsidP="00285584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Safety of Children and vulnerable adults /</w:t>
            </w:r>
            <w:r w:rsidR="00114550" w:rsidRPr="00975BD1">
              <w:rPr>
                <w:rFonts w:ascii="Arial" w:eastAsia="Calibri" w:hAnsi="Arial" w:cs="Arial"/>
                <w:sz w:val="22"/>
                <w:szCs w:val="22"/>
              </w:rPr>
              <w:t xml:space="preserve">safeguarding policy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in place and reviewed annually to reflect </w:t>
            </w:r>
            <w:r w:rsidR="00C6757A">
              <w:rPr>
                <w:rFonts w:ascii="Arial" w:eastAsia="Calibri" w:hAnsi="Arial" w:cs="Arial"/>
                <w:sz w:val="22"/>
                <w:szCs w:val="22"/>
              </w:rPr>
              <w:t>any changes in legislation.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62CA559" w14:textId="7644EF5B" w:rsidR="005F54C7" w:rsidRPr="00975BD1" w:rsidRDefault="005F54C7" w:rsidP="00285584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50629D9C" w14:textId="77777777" w:rsidTr="009A5743">
        <w:tc>
          <w:tcPr>
            <w:tcW w:w="1702" w:type="dxa"/>
            <w:shd w:val="clear" w:color="auto" w:fill="FDE9D9" w:themeFill="accent6" w:themeFillTint="33"/>
          </w:tcPr>
          <w:p w14:paraId="73CD0EF9" w14:textId="77777777" w:rsidR="005007BC" w:rsidRPr="003247E1" w:rsidRDefault="00A07C9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  <w:r w:rsidRPr="003247E1">
              <w:rPr>
                <w:rFonts w:ascii="Arial" w:eastAsia="Calibri" w:hAnsi="Arial" w:cs="Arial"/>
              </w:rPr>
              <w:lastRenderedPageBreak/>
              <w:t>Legal Liability</w:t>
            </w:r>
          </w:p>
        </w:tc>
        <w:tc>
          <w:tcPr>
            <w:tcW w:w="3685" w:type="dxa"/>
            <w:shd w:val="clear" w:color="auto" w:fill="auto"/>
          </w:tcPr>
          <w:p w14:paraId="1CC44DA3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Ensuring activities are within legal powers.</w:t>
            </w:r>
          </w:p>
        </w:tc>
        <w:tc>
          <w:tcPr>
            <w:tcW w:w="1134" w:type="dxa"/>
            <w:shd w:val="clear" w:color="auto" w:fill="FFF1C5"/>
          </w:tcPr>
          <w:p w14:paraId="31E33544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25EB27AA" w14:textId="77777777" w:rsidR="005007BC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Clerk to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seek advice if matter is outside her knowledge/experience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>.  Legal advice to be sought where necessary.</w:t>
            </w:r>
          </w:p>
          <w:p w14:paraId="705C8755" w14:textId="77777777" w:rsidR="00A67091" w:rsidRDefault="00A67091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47F3D61" w14:textId="4F73F01F" w:rsidR="00DA6925" w:rsidRPr="00975BD1" w:rsidRDefault="00DA6925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007BC" w:rsidRPr="00975BD1" w14:paraId="01DE921B" w14:textId="77777777" w:rsidTr="009A5743">
        <w:trPr>
          <w:trHeight w:val="1319"/>
        </w:trPr>
        <w:tc>
          <w:tcPr>
            <w:tcW w:w="1702" w:type="dxa"/>
            <w:shd w:val="clear" w:color="auto" w:fill="FDE9D9" w:themeFill="accent6" w:themeFillTint="33"/>
          </w:tcPr>
          <w:p w14:paraId="72454EBF" w14:textId="77777777" w:rsidR="005007BC" w:rsidRPr="003247E1" w:rsidRDefault="005007BC" w:rsidP="003247E1">
            <w:pPr>
              <w:ind w:left="0" w:hanging="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67EAF6DC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Proper and timely reporting via the minutes.</w:t>
            </w:r>
          </w:p>
          <w:p w14:paraId="3C0D5154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5F5E392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5285300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04DD40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A8A735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CCTV</w:t>
            </w:r>
          </w:p>
        </w:tc>
        <w:tc>
          <w:tcPr>
            <w:tcW w:w="1134" w:type="dxa"/>
            <w:shd w:val="clear" w:color="auto" w:fill="FFF1C5"/>
          </w:tcPr>
          <w:p w14:paraId="5123769E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588A677C" w14:textId="77777777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CFF7B7D" w14:textId="77777777" w:rsidR="005007BC" w:rsidRPr="00975BD1" w:rsidRDefault="005007BC" w:rsidP="009617F6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3143DF" w14:textId="77777777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1A7B87" w14:textId="77777777" w:rsidR="00E14F4C" w:rsidRDefault="00E14F4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2BD69C" w14:textId="77777777" w:rsidR="00E14F4C" w:rsidRDefault="00E14F4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D05BD91" w14:textId="1801CD40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404651AC" w14:textId="4131745F" w:rsidR="005007BC" w:rsidRPr="00975BD1" w:rsidRDefault="00B51B32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Full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Parish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Council meets once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 xml:space="preserve">every two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month</w:t>
            </w:r>
            <w:r w:rsidR="00620A49" w:rsidRPr="00975BD1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as do Committees</w:t>
            </w:r>
            <w:r w:rsidR="00EF13A9"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and always receives and approves minutes of meetings held in the interim. Minutes made available to press and public at the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 xml:space="preserve">Parish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office and on the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Parish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Council’s web site.</w:t>
            </w:r>
          </w:p>
          <w:p w14:paraId="64B7FFD6" w14:textId="7FFD6B25" w:rsidR="005007BC" w:rsidRPr="00975BD1" w:rsidRDefault="009611A8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Staff only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 xml:space="preserve"> to operate the CCTV system at the </w:t>
            </w:r>
            <w:r w:rsidR="00405747">
              <w:rPr>
                <w:rFonts w:ascii="Arial" w:eastAsia="Calibri" w:hAnsi="Arial" w:cs="Arial"/>
                <w:sz w:val="22"/>
                <w:szCs w:val="22"/>
              </w:rPr>
              <w:t xml:space="preserve">Village Centre </w:t>
            </w:r>
            <w:r w:rsidR="00A07C9C" w:rsidRPr="00975BD1">
              <w:rPr>
                <w:rFonts w:ascii="Arial" w:eastAsia="Calibri" w:hAnsi="Arial" w:cs="Arial"/>
                <w:sz w:val="22"/>
                <w:szCs w:val="22"/>
              </w:rPr>
              <w:t>and solely for business purpose.</w:t>
            </w:r>
          </w:p>
        </w:tc>
      </w:tr>
      <w:tr w:rsidR="005007BC" w:rsidRPr="00975BD1" w14:paraId="4DEC14E0" w14:textId="77777777" w:rsidTr="009A5743">
        <w:tc>
          <w:tcPr>
            <w:tcW w:w="1702" w:type="dxa"/>
            <w:shd w:val="clear" w:color="auto" w:fill="DBE5F1" w:themeFill="accent1" w:themeFillTint="33"/>
          </w:tcPr>
          <w:p w14:paraId="1174F74D" w14:textId="3EE86D5B" w:rsidR="009A5743" w:rsidRPr="003247E1" w:rsidRDefault="009A5743" w:rsidP="009A5743">
            <w:pPr>
              <w:ind w:leftChars="0" w:left="0" w:firstLineChars="0" w:firstLine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Councillors Propriety</w:t>
            </w:r>
          </w:p>
        </w:tc>
        <w:tc>
          <w:tcPr>
            <w:tcW w:w="3685" w:type="dxa"/>
            <w:shd w:val="clear" w:color="auto" w:fill="auto"/>
          </w:tcPr>
          <w:p w14:paraId="4F400D34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Registration of interest</w:t>
            </w:r>
          </w:p>
          <w:p w14:paraId="674761A0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7919E2" w14:textId="5047A59D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A94C7A" w14:textId="64E7D95B" w:rsidR="00A07C9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44B402" w14:textId="77777777" w:rsidR="00A07C9C" w:rsidRPr="00975BD1" w:rsidRDefault="00A07C9C" w:rsidP="00B51B32">
            <w:pPr>
              <w:ind w:leftChars="0" w:left="0" w:firstLineChars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2B604" w14:textId="77777777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Standing Orders and Financial Regulations</w:t>
            </w:r>
          </w:p>
        </w:tc>
        <w:tc>
          <w:tcPr>
            <w:tcW w:w="1134" w:type="dxa"/>
            <w:shd w:val="clear" w:color="auto" w:fill="FFF1C5"/>
          </w:tcPr>
          <w:p w14:paraId="4C6D72CC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  <w:p w14:paraId="1DD9D08E" w14:textId="77777777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22A643" w14:textId="21D5693E" w:rsidR="005007BC" w:rsidRPr="00975BD1" w:rsidRDefault="005007B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33324A" w14:textId="2E1CEE4A" w:rsidR="00D229C6" w:rsidRPr="00975BD1" w:rsidRDefault="00D229C6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6EE6992" w14:textId="2354D3F7" w:rsidR="00D229C6" w:rsidRPr="00975BD1" w:rsidRDefault="00D229C6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85480FA" w14:textId="77777777" w:rsidR="00D229C6" w:rsidRPr="00975BD1" w:rsidRDefault="00D229C6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4512789" w14:textId="77777777" w:rsidR="005007BC" w:rsidRPr="00975BD1" w:rsidRDefault="00A07C9C">
            <w:pPr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</w:t>
            </w:r>
          </w:p>
        </w:tc>
        <w:tc>
          <w:tcPr>
            <w:tcW w:w="4253" w:type="dxa"/>
          </w:tcPr>
          <w:p w14:paraId="03BA9305" w14:textId="77777777" w:rsidR="006268B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Code of Conduct in place</w:t>
            </w:r>
            <w:r w:rsidR="006268B1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6866B2BF" w14:textId="4A6AF15E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Members Regist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er of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Interests </w:t>
            </w:r>
            <w:r w:rsidR="006268B1">
              <w:rPr>
                <w:rFonts w:ascii="Arial" w:eastAsia="Calibri" w:hAnsi="Arial" w:cs="Arial"/>
                <w:sz w:val="22"/>
                <w:szCs w:val="22"/>
              </w:rPr>
              <w:t xml:space="preserve">published </w:t>
            </w:r>
            <w:r w:rsidR="009611A8" w:rsidRPr="00975BD1">
              <w:rPr>
                <w:rFonts w:ascii="Arial" w:eastAsia="Calibri" w:hAnsi="Arial" w:cs="Arial"/>
                <w:sz w:val="22"/>
                <w:szCs w:val="22"/>
              </w:rPr>
              <w:t>on website</w:t>
            </w:r>
            <w:r w:rsidR="006268B1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975BD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AA9DECE" w14:textId="5B84A110" w:rsidR="00D229C6" w:rsidRPr="00975BD1" w:rsidRDefault="00A07C9C" w:rsidP="00B51B32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Declarations of interest recorded in the minutes.</w:t>
            </w:r>
          </w:p>
          <w:p w14:paraId="3A8CA9B5" w14:textId="179B44C4" w:rsidR="005007BC" w:rsidRPr="00975BD1" w:rsidRDefault="00A07C9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975BD1">
              <w:rPr>
                <w:rFonts w:ascii="Arial" w:eastAsia="Calibri" w:hAnsi="Arial" w:cs="Arial"/>
                <w:sz w:val="22"/>
                <w:szCs w:val="22"/>
              </w:rPr>
              <w:t>The Standing Orders and the Financial Regulations are reviewed and kept up to date.</w:t>
            </w:r>
          </w:p>
          <w:p w14:paraId="415751DB" w14:textId="77777777" w:rsidR="005007BC" w:rsidRPr="00975BD1" w:rsidRDefault="005007BC">
            <w:pP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EFE4568" w14:textId="77777777" w:rsidR="009A5743" w:rsidRDefault="009A5743" w:rsidP="009A5743">
      <w:pPr>
        <w:ind w:leftChars="0" w:left="0" w:firstLineChars="0" w:firstLine="0"/>
        <w:rPr>
          <w:rFonts w:ascii="Arial" w:eastAsia="Calibri" w:hAnsi="Arial" w:cs="Arial"/>
          <w:sz w:val="22"/>
          <w:szCs w:val="22"/>
        </w:rPr>
      </w:pPr>
    </w:p>
    <w:p w14:paraId="197383E3" w14:textId="77777777" w:rsidR="009A5743" w:rsidRDefault="009A5743" w:rsidP="009A5743">
      <w:pPr>
        <w:ind w:leftChars="0" w:left="0" w:firstLineChars="0" w:firstLine="0"/>
        <w:rPr>
          <w:rFonts w:ascii="Arial" w:eastAsia="Calibri" w:hAnsi="Arial" w:cs="Arial"/>
          <w:sz w:val="22"/>
          <w:szCs w:val="22"/>
        </w:rPr>
      </w:pPr>
    </w:p>
    <w:p w14:paraId="33D5C8D6" w14:textId="67AA49BF" w:rsidR="005007BC" w:rsidRPr="009A5743" w:rsidRDefault="00825385" w:rsidP="009A5743">
      <w:pPr>
        <w:ind w:leftChars="0" w:left="0" w:firstLineChars="0" w:firstLin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Reviewed </w:t>
      </w:r>
      <w:r w:rsidR="00A07C9C" w:rsidRPr="009A5743">
        <w:rPr>
          <w:rFonts w:ascii="Arial" w:eastAsia="Calibri" w:hAnsi="Arial" w:cs="Arial"/>
          <w:sz w:val="22"/>
          <w:szCs w:val="22"/>
        </w:rPr>
        <w:t xml:space="preserve">by Council: </w:t>
      </w:r>
      <w:r>
        <w:rPr>
          <w:rFonts w:ascii="Arial" w:eastAsia="Calibri" w:hAnsi="Arial" w:cs="Arial"/>
          <w:sz w:val="22"/>
          <w:szCs w:val="22"/>
        </w:rPr>
        <w:t>21 March 2024</w:t>
      </w:r>
    </w:p>
    <w:sectPr w:rsidR="005007BC" w:rsidRPr="009A5743">
      <w:pgSz w:w="12240" w:h="15840"/>
      <w:pgMar w:top="284" w:right="450" w:bottom="10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BC"/>
    <w:rsid w:val="00031E7B"/>
    <w:rsid w:val="00034B5C"/>
    <w:rsid w:val="00090329"/>
    <w:rsid w:val="000A21F7"/>
    <w:rsid w:val="000B59A9"/>
    <w:rsid w:val="000C3066"/>
    <w:rsid w:val="00114550"/>
    <w:rsid w:val="00165629"/>
    <w:rsid w:val="00190559"/>
    <w:rsid w:val="0019531C"/>
    <w:rsid w:val="00214550"/>
    <w:rsid w:val="00241BD4"/>
    <w:rsid w:val="0025111E"/>
    <w:rsid w:val="00271941"/>
    <w:rsid w:val="00283CB3"/>
    <w:rsid w:val="00285546"/>
    <w:rsid w:val="00294DE3"/>
    <w:rsid w:val="002B53FB"/>
    <w:rsid w:val="002E077D"/>
    <w:rsid w:val="00305017"/>
    <w:rsid w:val="003247E1"/>
    <w:rsid w:val="003534EE"/>
    <w:rsid w:val="003842F0"/>
    <w:rsid w:val="003A4580"/>
    <w:rsid w:val="003C30D3"/>
    <w:rsid w:val="00405644"/>
    <w:rsid w:val="00405747"/>
    <w:rsid w:val="0041115E"/>
    <w:rsid w:val="00476898"/>
    <w:rsid w:val="004A1172"/>
    <w:rsid w:val="004A28DC"/>
    <w:rsid w:val="004B271D"/>
    <w:rsid w:val="004B2A8B"/>
    <w:rsid w:val="004D661F"/>
    <w:rsid w:val="004E0B0B"/>
    <w:rsid w:val="004E575A"/>
    <w:rsid w:val="005007BC"/>
    <w:rsid w:val="00503DE5"/>
    <w:rsid w:val="005561C6"/>
    <w:rsid w:val="0057407C"/>
    <w:rsid w:val="005836FB"/>
    <w:rsid w:val="005A4B5E"/>
    <w:rsid w:val="005A6451"/>
    <w:rsid w:val="005F54C7"/>
    <w:rsid w:val="00620A49"/>
    <w:rsid w:val="0062611E"/>
    <w:rsid w:val="006262C0"/>
    <w:rsid w:val="006268B1"/>
    <w:rsid w:val="0076051B"/>
    <w:rsid w:val="00796A4C"/>
    <w:rsid w:val="007C7D58"/>
    <w:rsid w:val="007E04F3"/>
    <w:rsid w:val="007F2230"/>
    <w:rsid w:val="00825385"/>
    <w:rsid w:val="008335D4"/>
    <w:rsid w:val="00840890"/>
    <w:rsid w:val="00845C98"/>
    <w:rsid w:val="0086125A"/>
    <w:rsid w:val="00866BD9"/>
    <w:rsid w:val="008705C1"/>
    <w:rsid w:val="008F330B"/>
    <w:rsid w:val="00917688"/>
    <w:rsid w:val="009611A8"/>
    <w:rsid w:val="009617F6"/>
    <w:rsid w:val="00975BD1"/>
    <w:rsid w:val="009A5743"/>
    <w:rsid w:val="009A5A1E"/>
    <w:rsid w:val="00A07C9C"/>
    <w:rsid w:val="00A53799"/>
    <w:rsid w:val="00A5678C"/>
    <w:rsid w:val="00A66B73"/>
    <w:rsid w:val="00A67091"/>
    <w:rsid w:val="00AC7A47"/>
    <w:rsid w:val="00AF4C92"/>
    <w:rsid w:val="00B24575"/>
    <w:rsid w:val="00B24EDD"/>
    <w:rsid w:val="00B51B32"/>
    <w:rsid w:val="00C05540"/>
    <w:rsid w:val="00C3502E"/>
    <w:rsid w:val="00C37FCD"/>
    <w:rsid w:val="00C613C2"/>
    <w:rsid w:val="00C6757A"/>
    <w:rsid w:val="00CA0963"/>
    <w:rsid w:val="00CB68AD"/>
    <w:rsid w:val="00D16CE9"/>
    <w:rsid w:val="00D229C6"/>
    <w:rsid w:val="00D80B65"/>
    <w:rsid w:val="00DA5685"/>
    <w:rsid w:val="00DA6925"/>
    <w:rsid w:val="00E12866"/>
    <w:rsid w:val="00E14F4C"/>
    <w:rsid w:val="00E522CB"/>
    <w:rsid w:val="00EF13A9"/>
    <w:rsid w:val="00F57CF3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0604"/>
  <w15:docId w15:val="{D3E20F28-9F5F-4C0D-8E4C-D4763FE6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yX1YPB4tZki5uhwSRsAs8Q2Cg==">AMUW2mVHiL82yPDGvhHa4eD7vEukQP5SwjDVn4H3bgE8V7e90XRzJFkLYJwJ4Sc2viOo9A10Fo2gb2Irb6QtZrnbcVJSMOW8nSO3b35A2VF9G+CC7pYNxQg=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fa98b-b626-481a-9148-7ad0e2ff5e91" xsi:nil="true"/>
    <lcf76f155ced4ddcb4097134ff3c332f xmlns="341b23f9-35a8-4f89-8366-3aef52b673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258EADB25AA47AD7F11ADF752FBE0" ma:contentTypeVersion="17" ma:contentTypeDescription="Create a new document." ma:contentTypeScope="" ma:versionID="32c9f905d29404afb9ee6f4857d9d9d2">
  <xsd:schema xmlns:xsd="http://www.w3.org/2001/XMLSchema" xmlns:xs="http://www.w3.org/2001/XMLSchema" xmlns:p="http://schemas.microsoft.com/office/2006/metadata/properties" xmlns:ns2="9eafa98b-b626-481a-9148-7ad0e2ff5e91" xmlns:ns3="341b23f9-35a8-4f89-8366-3aef52b673c5" targetNamespace="http://schemas.microsoft.com/office/2006/metadata/properties" ma:root="true" ma:fieldsID="21eee664f2e81e8d0e70f04fb9803b7f" ns2:_="" ns3:_="">
    <xsd:import namespace="9eafa98b-b626-481a-9148-7ad0e2ff5e91"/>
    <xsd:import namespace="341b23f9-35a8-4f89-8366-3aef52b67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fa98b-b626-481a-9148-7ad0e2ff5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29e170-893b-4cdf-9c7e-f1b03de04c7f}" ma:internalName="TaxCatchAll" ma:showField="CatchAllData" ma:web="9eafa98b-b626-481a-9148-7ad0e2ff5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23f9-35a8-4f89-8366-3aef52b6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14a2d7-1d8f-4707-8a9a-9ef94ca4d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1B02C1-16CF-4940-BA1B-C3F190D65952}">
  <ds:schemaRefs>
    <ds:schemaRef ds:uri="http://schemas.microsoft.com/office/2006/metadata/properties"/>
    <ds:schemaRef ds:uri="http://schemas.microsoft.com/office/infopath/2007/PartnerControls"/>
    <ds:schemaRef ds:uri="9eafa98b-b626-481a-9148-7ad0e2ff5e91"/>
    <ds:schemaRef ds:uri="341b23f9-35a8-4f89-8366-3aef52b673c5"/>
  </ds:schemaRefs>
</ds:datastoreItem>
</file>

<file path=customXml/itemProps3.xml><?xml version="1.0" encoding="utf-8"?>
<ds:datastoreItem xmlns:ds="http://schemas.openxmlformats.org/officeDocument/2006/customXml" ds:itemID="{1A6EEFEA-80BA-4357-A097-E2CBCC5DF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0489A-E7F0-41DF-BF5B-1BAC36B6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fa98b-b626-481a-9148-7ad0e2ff5e91"/>
    <ds:schemaRef ds:uri="341b23f9-35a8-4f89-8366-3aef52b6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Clerk</cp:lastModifiedBy>
  <cp:revision>2</cp:revision>
  <dcterms:created xsi:type="dcterms:W3CDTF">2024-06-11T16:26:00Z</dcterms:created>
  <dcterms:modified xsi:type="dcterms:W3CDTF">2024-06-11T16:26:00Z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0x0101001DE258EADB25AA47AD7F11ADF752FBE0</vt:lpwstr>
  </property>
</Properties>
</file>